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5C2B" w14:textId="343FB0D2" w:rsidR="00894C55" w:rsidRPr="009162AC" w:rsidRDefault="0049292E" w:rsidP="0096297A">
      <w:pPr>
        <w:shd w:val="clear" w:color="auto" w:fill="FFFFFF"/>
        <w:spacing w:after="0" w:line="240" w:lineRule="auto"/>
        <w:jc w:val="center"/>
        <w:rPr>
          <w:rFonts w:ascii="Times New Roman" w:eastAsia="Times New Roman" w:hAnsi="Times New Roman" w:cs="Times New Roman"/>
          <w:b/>
          <w:bCs/>
          <w:sz w:val="28"/>
          <w:szCs w:val="24"/>
          <w:lang w:eastAsia="lv-LV"/>
        </w:rPr>
      </w:pPr>
      <w:r w:rsidRPr="009162AC">
        <w:rPr>
          <w:rFonts w:ascii="Times New Roman" w:eastAsia="Times New Roman" w:hAnsi="Times New Roman" w:cs="Times New Roman"/>
          <w:b/>
          <w:bCs/>
          <w:sz w:val="28"/>
          <w:szCs w:val="24"/>
          <w:lang w:eastAsia="lv-LV"/>
        </w:rPr>
        <w:t>Likumprojekta "</w:t>
      </w:r>
      <w:r w:rsidR="0096297A" w:rsidRPr="0096297A">
        <w:rPr>
          <w:rFonts w:ascii="Times New Roman" w:eastAsia="Times New Roman" w:hAnsi="Times New Roman" w:cs="Times New Roman"/>
          <w:b/>
          <w:bCs/>
          <w:sz w:val="28"/>
          <w:szCs w:val="24"/>
          <w:lang w:eastAsia="lv-LV"/>
        </w:rPr>
        <w:t>Grozījumi likumā "Par tautas nobalsošanu, likumu ierosināšanu un Eiropas pilsoņu iniciatīvu"</w:t>
      </w:r>
      <w:r w:rsidR="0096297A">
        <w:rPr>
          <w:rFonts w:ascii="Times New Roman" w:eastAsia="Times New Roman" w:hAnsi="Times New Roman" w:cs="Times New Roman"/>
          <w:b/>
          <w:bCs/>
          <w:sz w:val="28"/>
          <w:szCs w:val="24"/>
          <w:lang w:eastAsia="lv-LV"/>
        </w:rPr>
        <w:t xml:space="preserve">" </w:t>
      </w:r>
      <w:r w:rsidRPr="009162AC">
        <w:rPr>
          <w:rFonts w:ascii="Times New Roman" w:eastAsia="Times New Roman" w:hAnsi="Times New Roman" w:cs="Times New Roman"/>
          <w:b/>
          <w:bCs/>
          <w:sz w:val="28"/>
          <w:szCs w:val="24"/>
          <w:lang w:eastAsia="lv-LV"/>
        </w:rPr>
        <w:t>sākotnējās ietekmes novērtējuma ziņojums (anotācija)</w:t>
      </w:r>
    </w:p>
    <w:p w14:paraId="72555C2C" w14:textId="77777777" w:rsidR="00E5323B" w:rsidRPr="00ED397F" w:rsidRDefault="00E5323B" w:rsidP="00894C55">
      <w:pPr>
        <w:shd w:val="clear" w:color="auto" w:fill="FFFFFF"/>
        <w:spacing w:after="0" w:line="240" w:lineRule="auto"/>
        <w:jc w:val="center"/>
        <w:rPr>
          <w:rFonts w:ascii="Times New Roman" w:eastAsia="Times New Roman" w:hAnsi="Times New Roman" w:cs="Times New Roman"/>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49292E" w:rsidRPr="009162AC" w14:paraId="72555C2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555C2D" w14:textId="77777777" w:rsidR="00655F2C" w:rsidRPr="009162AC" w:rsidRDefault="00E5323B" w:rsidP="0049292E">
            <w:pPr>
              <w:spacing w:after="0" w:line="240" w:lineRule="auto"/>
              <w:jc w:val="center"/>
              <w:rPr>
                <w:rFonts w:ascii="Times New Roman" w:eastAsia="Times New Roman" w:hAnsi="Times New Roman" w:cs="Times New Roman"/>
                <w:b/>
                <w:bCs/>
                <w:iCs/>
                <w:sz w:val="24"/>
                <w:szCs w:val="24"/>
                <w:lang w:eastAsia="lv-LV"/>
              </w:rPr>
            </w:pPr>
            <w:r w:rsidRPr="009162AC">
              <w:rPr>
                <w:rFonts w:ascii="Times New Roman" w:eastAsia="Times New Roman" w:hAnsi="Times New Roman" w:cs="Times New Roman"/>
                <w:b/>
                <w:bCs/>
                <w:iCs/>
                <w:sz w:val="24"/>
                <w:szCs w:val="24"/>
                <w:lang w:eastAsia="lv-LV"/>
              </w:rPr>
              <w:t>Tiesību akta projekta anotācijas kopsavilkums</w:t>
            </w:r>
          </w:p>
        </w:tc>
      </w:tr>
      <w:tr w:rsidR="0049292E" w:rsidRPr="009162AC" w14:paraId="72555C3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2555C2F" w14:textId="77777777" w:rsidR="00E5323B" w:rsidRPr="009162AC" w:rsidRDefault="00E5323B" w:rsidP="0049292E">
            <w:pPr>
              <w:spacing w:after="0" w:line="240" w:lineRule="auto"/>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Mērķis, risinājums un projekta spēkā stāšanās laiks (500</w:t>
            </w:r>
            <w:r w:rsidR="00BA1DB6">
              <w:rPr>
                <w:rFonts w:ascii="Times New Roman" w:eastAsia="Times New Roman" w:hAnsi="Times New Roman" w:cs="Times New Roman"/>
                <w:iCs/>
                <w:sz w:val="24"/>
                <w:szCs w:val="24"/>
                <w:lang w:eastAsia="lv-LV"/>
              </w:rPr>
              <w:t> </w:t>
            </w:r>
            <w:r w:rsidRPr="009162AC">
              <w:rPr>
                <w:rFonts w:ascii="Times New Roman" w:eastAsia="Times New Roman" w:hAnsi="Times New Roman" w:cs="Times New Roman"/>
                <w:iCs/>
                <w:sz w:val="24"/>
                <w:szCs w:val="24"/>
                <w:lang w:eastAsia="lv-LV"/>
              </w:rPr>
              <w:t>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0CE8A6A" w14:textId="63BEDBD2" w:rsidR="00C97E63" w:rsidRDefault="00C97E63" w:rsidP="00754939">
            <w:pPr>
              <w:spacing w:after="0" w:line="240" w:lineRule="auto"/>
              <w:jc w:val="both"/>
              <w:rPr>
                <w:rFonts w:ascii="Times New Roman" w:eastAsia="Times New Roman" w:hAnsi="Times New Roman" w:cs="Times New Roman"/>
                <w:iCs/>
                <w:sz w:val="24"/>
                <w:szCs w:val="24"/>
                <w:lang w:eastAsia="lv-LV"/>
              </w:rPr>
            </w:pPr>
            <w:r w:rsidRPr="00C31CE6">
              <w:rPr>
                <w:rFonts w:ascii="Times New Roman" w:eastAsia="Times New Roman" w:hAnsi="Times New Roman" w:cs="Times New Roman"/>
                <w:iCs/>
                <w:sz w:val="24"/>
                <w:szCs w:val="24"/>
                <w:lang w:eastAsia="lv-LV"/>
              </w:rPr>
              <w:t xml:space="preserve">Likumprojekts izstrādāts, lai īstenotu </w:t>
            </w:r>
            <w:r w:rsidR="001C25BA">
              <w:rPr>
                <w:rFonts w:ascii="Times New Roman" w:eastAsia="Times New Roman" w:hAnsi="Times New Roman" w:cs="Times New Roman"/>
                <w:iCs/>
                <w:sz w:val="24"/>
                <w:szCs w:val="24"/>
                <w:lang w:eastAsia="lv-LV"/>
              </w:rPr>
              <w:t xml:space="preserve">nozaru </w:t>
            </w:r>
            <w:r w:rsidRPr="00C31CE6">
              <w:rPr>
                <w:rFonts w:ascii="Times New Roman" w:eastAsia="Times New Roman" w:hAnsi="Times New Roman" w:cs="Times New Roman"/>
                <w:iCs/>
                <w:sz w:val="24"/>
                <w:szCs w:val="24"/>
                <w:lang w:eastAsia="lv-LV"/>
              </w:rPr>
              <w:t xml:space="preserve">administratīvo pārkāpumu </w:t>
            </w:r>
            <w:r w:rsidR="001C25BA">
              <w:rPr>
                <w:rFonts w:ascii="Times New Roman" w:eastAsia="Times New Roman" w:hAnsi="Times New Roman" w:cs="Times New Roman"/>
                <w:iCs/>
                <w:sz w:val="24"/>
                <w:szCs w:val="24"/>
                <w:lang w:eastAsia="lv-LV"/>
              </w:rPr>
              <w:t xml:space="preserve">kodifikācijas ieviešanas </w:t>
            </w:r>
            <w:r w:rsidRPr="00C31CE6">
              <w:rPr>
                <w:rFonts w:ascii="Times New Roman" w:eastAsia="Times New Roman" w:hAnsi="Times New Roman" w:cs="Times New Roman"/>
                <w:iCs/>
                <w:sz w:val="24"/>
                <w:szCs w:val="24"/>
                <w:lang w:eastAsia="lv-LV"/>
              </w:rPr>
              <w:t>sistēmas plānu.</w:t>
            </w:r>
            <w:r w:rsidR="00C31CE6" w:rsidRPr="00C31CE6">
              <w:rPr>
                <w:rFonts w:ascii="Times New Roman" w:eastAsia="Times New Roman" w:hAnsi="Times New Roman" w:cs="Times New Roman"/>
                <w:iCs/>
                <w:sz w:val="24"/>
                <w:szCs w:val="24"/>
                <w:lang w:eastAsia="lv-LV"/>
              </w:rPr>
              <w:t xml:space="preserve"> Likumprojekts ietver Latvijas Administratīvo pārkāpumu kodeksa </w:t>
            </w:r>
            <w:r w:rsidR="00C31CE6" w:rsidRPr="00C31CE6">
              <w:rPr>
                <w:rFonts w:ascii="Times New Roman" w:eastAsia="Times New Roman" w:hAnsi="Times New Roman" w:cs="Times New Roman"/>
                <w:bCs/>
                <w:iCs/>
                <w:sz w:val="24"/>
                <w:szCs w:val="24"/>
                <w:lang w:eastAsia="lv-LV"/>
              </w:rPr>
              <w:t>204.</w:t>
            </w:r>
            <w:r w:rsidR="00C31CE6" w:rsidRPr="00C31CE6">
              <w:rPr>
                <w:rFonts w:ascii="Times New Roman" w:eastAsia="Times New Roman" w:hAnsi="Times New Roman" w:cs="Times New Roman"/>
                <w:bCs/>
                <w:iCs/>
                <w:sz w:val="24"/>
                <w:szCs w:val="24"/>
                <w:vertAlign w:val="superscript"/>
                <w:lang w:eastAsia="lv-LV"/>
              </w:rPr>
              <w:t>2 </w:t>
            </w:r>
            <w:r w:rsidR="00C31CE6" w:rsidRPr="00C31CE6">
              <w:rPr>
                <w:rFonts w:ascii="Times New Roman" w:eastAsia="Times New Roman" w:hAnsi="Times New Roman" w:cs="Times New Roman"/>
                <w:bCs/>
                <w:iCs/>
                <w:sz w:val="24"/>
                <w:szCs w:val="24"/>
                <w:lang w:eastAsia="lv-LV"/>
              </w:rPr>
              <w:t>pantā</w:t>
            </w:r>
            <w:r w:rsidR="00C31CE6" w:rsidRPr="00C31CE6">
              <w:rPr>
                <w:rFonts w:ascii="Times New Roman" w:eastAsia="Times New Roman" w:hAnsi="Times New Roman" w:cs="Times New Roman"/>
                <w:iCs/>
                <w:sz w:val="24"/>
                <w:szCs w:val="24"/>
                <w:lang w:eastAsia="lv-LV"/>
              </w:rPr>
              <w:t xml:space="preserve"> paredzēto administratīvo pārkāpumu</w:t>
            </w:r>
            <w:r w:rsidR="00C31CE6">
              <w:rPr>
                <w:rFonts w:ascii="Times New Roman" w:eastAsia="Times New Roman" w:hAnsi="Times New Roman" w:cs="Times New Roman"/>
                <w:iCs/>
                <w:sz w:val="24"/>
                <w:szCs w:val="24"/>
                <w:lang w:eastAsia="lv-LV"/>
              </w:rPr>
              <w:t xml:space="preserve"> sastāvus</w:t>
            </w:r>
            <w:r w:rsidR="00790810">
              <w:rPr>
                <w:rFonts w:ascii="Times New Roman" w:eastAsia="Times New Roman" w:hAnsi="Times New Roman" w:cs="Times New Roman"/>
                <w:iCs/>
                <w:sz w:val="24"/>
                <w:szCs w:val="24"/>
                <w:lang w:eastAsia="lv-LV"/>
              </w:rPr>
              <w:t xml:space="preserve"> (aģitācijas noteikumu pārkāpšana)</w:t>
            </w:r>
            <w:r w:rsidR="00C31CE6">
              <w:rPr>
                <w:rFonts w:ascii="Times New Roman" w:eastAsia="Times New Roman" w:hAnsi="Times New Roman" w:cs="Times New Roman"/>
                <w:iCs/>
                <w:sz w:val="24"/>
                <w:szCs w:val="24"/>
                <w:lang w:eastAsia="lv-LV"/>
              </w:rPr>
              <w:t>.</w:t>
            </w:r>
          </w:p>
          <w:p w14:paraId="72555C31" w14:textId="3EA0F3DA" w:rsidR="00300D34" w:rsidRPr="009162AC" w:rsidRDefault="00300D34" w:rsidP="00754939">
            <w:pPr>
              <w:spacing w:after="0" w:line="240" w:lineRule="auto"/>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Likumpr</w:t>
            </w:r>
            <w:r w:rsidR="00754939">
              <w:rPr>
                <w:rFonts w:ascii="Times New Roman" w:eastAsia="Times New Roman" w:hAnsi="Times New Roman" w:cs="Times New Roman"/>
                <w:iCs/>
                <w:sz w:val="24"/>
                <w:szCs w:val="24"/>
                <w:lang w:eastAsia="lv-LV"/>
              </w:rPr>
              <w:t>ojekta spēkā stāšanās paredzēta</w:t>
            </w:r>
            <w:r w:rsidRPr="009162AC">
              <w:rPr>
                <w:rFonts w:ascii="Times New Roman" w:eastAsia="Times New Roman" w:hAnsi="Times New Roman" w:cs="Times New Roman"/>
                <w:iCs/>
                <w:sz w:val="24"/>
                <w:szCs w:val="24"/>
                <w:lang w:eastAsia="lv-LV"/>
              </w:rPr>
              <w:t xml:space="preserve"> vienlaikus ar </w:t>
            </w:r>
            <w:r w:rsidR="00B14A7E">
              <w:rPr>
                <w:rFonts w:ascii="Times New Roman" w:eastAsia="Times New Roman" w:hAnsi="Times New Roman" w:cs="Times New Roman"/>
                <w:iCs/>
                <w:sz w:val="24"/>
                <w:szCs w:val="24"/>
                <w:lang w:eastAsia="lv-LV"/>
              </w:rPr>
              <w:t>Administratīvās atbildības</w:t>
            </w:r>
            <w:r w:rsidRPr="009162AC">
              <w:rPr>
                <w:rFonts w:ascii="Times New Roman" w:eastAsia="Times New Roman" w:hAnsi="Times New Roman" w:cs="Times New Roman"/>
                <w:iCs/>
                <w:sz w:val="24"/>
                <w:szCs w:val="24"/>
                <w:lang w:eastAsia="lv-LV"/>
              </w:rPr>
              <w:t xml:space="preserve"> likuma spēkā stāšanos</w:t>
            </w:r>
          </w:p>
        </w:tc>
      </w:tr>
    </w:tbl>
    <w:p w14:paraId="72555C33"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C3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C34" w14:textId="77777777" w:rsidR="00655F2C" w:rsidRPr="009162AC" w:rsidRDefault="00E5323B" w:rsidP="0049292E">
            <w:pPr>
              <w:spacing w:after="0" w:line="240" w:lineRule="auto"/>
              <w:jc w:val="center"/>
              <w:rPr>
                <w:rFonts w:ascii="Times New Roman" w:eastAsia="Times New Roman" w:hAnsi="Times New Roman" w:cs="Times New Roman"/>
                <w:b/>
                <w:bCs/>
                <w:iCs/>
                <w:sz w:val="24"/>
                <w:szCs w:val="24"/>
                <w:lang w:eastAsia="lv-LV"/>
              </w:rPr>
            </w:pPr>
            <w:r w:rsidRPr="009162AC">
              <w:rPr>
                <w:rFonts w:ascii="Times New Roman" w:eastAsia="Times New Roman" w:hAnsi="Times New Roman" w:cs="Times New Roman"/>
                <w:b/>
                <w:bCs/>
                <w:iCs/>
                <w:sz w:val="24"/>
                <w:szCs w:val="24"/>
                <w:lang w:eastAsia="lv-LV"/>
              </w:rPr>
              <w:t>I. Tiesību akta projekta izstrādes nepieciešamība</w:t>
            </w:r>
          </w:p>
        </w:tc>
      </w:tr>
      <w:tr w:rsidR="0049292E" w:rsidRPr="009162AC" w14:paraId="72555C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36"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C37"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2555C39" w14:textId="77777777" w:rsidR="00DF6368" w:rsidRDefault="00DF6368" w:rsidP="00DF6368">
            <w:pPr>
              <w:spacing w:after="0" w:line="240" w:lineRule="auto"/>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2013.</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gada 4.</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 xml:space="preserve">februāra rīkojums Nr. 38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Par Administratīvo sodu sistēmas attīstības koncepciju</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A" w14:textId="77777777" w:rsidR="00DF6368" w:rsidRPr="00DF6368" w:rsidRDefault="00DF6368" w:rsidP="00DF6368">
            <w:pPr>
              <w:spacing w:after="0" w:line="240" w:lineRule="auto"/>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2014. gada 22. ap</w:t>
            </w:r>
            <w:r w:rsidR="00C32E05">
              <w:rPr>
                <w:rFonts w:ascii="Times New Roman" w:eastAsia="Times New Roman" w:hAnsi="Times New Roman" w:cs="Times New Roman"/>
                <w:iCs/>
                <w:sz w:val="24"/>
                <w:szCs w:val="24"/>
                <w:lang w:eastAsia="lv-LV"/>
              </w:rPr>
              <w:t>rīļa sēdes protokol</w:t>
            </w:r>
            <w:r w:rsidR="00ED397F">
              <w:rPr>
                <w:rFonts w:ascii="Times New Roman" w:eastAsia="Times New Roman" w:hAnsi="Times New Roman" w:cs="Times New Roman"/>
                <w:iCs/>
                <w:sz w:val="24"/>
                <w:szCs w:val="24"/>
                <w:lang w:eastAsia="lv-LV"/>
              </w:rPr>
              <w:t>a</w:t>
            </w:r>
            <w:r w:rsidR="00C32E05">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24 26.</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00C32E05">
              <w:rPr>
                <w:rFonts w:ascii="Times New Roman" w:eastAsia="Times New Roman" w:hAnsi="Times New Roman" w:cs="Times New Roman"/>
                <w:iCs/>
                <w:sz w:val="24"/>
                <w:szCs w:val="24"/>
                <w:lang w:eastAsia="lv-LV"/>
              </w:rPr>
              <w:t xml:space="preserve"> </w:t>
            </w:r>
            <w:r w:rsidRPr="00DF6368">
              <w:rPr>
                <w:rFonts w:ascii="Times New Roman" w:eastAsia="Times New Roman" w:hAnsi="Times New Roman" w:cs="Times New Roman"/>
                <w:iCs/>
                <w:sz w:val="24"/>
                <w:szCs w:val="24"/>
                <w:lang w:eastAsia="lv-LV"/>
              </w:rPr>
              <w:t xml:space="preserve">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B" w14:textId="77777777" w:rsidR="00DF6368" w:rsidRDefault="00DF6368" w:rsidP="00DF6368">
            <w:pPr>
              <w:spacing w:after="0" w:line="240" w:lineRule="auto"/>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2016.</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gada 13.</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decembra sēdes protokol</w:t>
            </w:r>
            <w:r w:rsidR="00ED397F">
              <w:rPr>
                <w:rFonts w:ascii="Times New Roman" w:eastAsia="Times New Roman" w:hAnsi="Times New Roman" w:cs="Times New Roman"/>
                <w:iCs/>
                <w:sz w:val="24"/>
                <w:szCs w:val="24"/>
                <w:lang w:eastAsia="lv-LV"/>
              </w:rPr>
              <w:t>a</w:t>
            </w:r>
            <w:r w:rsidRPr="00DF6368">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68 67.</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 xml:space="preserve"> 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sistēmas īstenošana</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C" w14:textId="361EC40C" w:rsidR="00DF6368" w:rsidRPr="00DF6368" w:rsidRDefault="00DF6368" w:rsidP="00DF6368">
            <w:pPr>
              <w:spacing w:after="0" w:line="240" w:lineRule="auto"/>
              <w:jc w:val="both"/>
              <w:rPr>
                <w:rFonts w:ascii="Times New Roman" w:eastAsia="Times New Roman" w:hAnsi="Times New Roman" w:cs="Times New Roman"/>
                <w:iCs/>
                <w:sz w:val="24"/>
                <w:szCs w:val="24"/>
                <w:highlight w:val="yellow"/>
                <w:lang w:eastAsia="lv-LV"/>
              </w:rPr>
            </w:pPr>
            <w:r w:rsidRPr="00DF6368">
              <w:rPr>
                <w:rFonts w:ascii="Times New Roman" w:eastAsia="Times New Roman" w:hAnsi="Times New Roman" w:cs="Times New Roman"/>
                <w:iCs/>
                <w:sz w:val="24"/>
                <w:szCs w:val="24"/>
                <w:lang w:eastAsia="lv-LV"/>
              </w:rPr>
              <w:t>Ministru kabineta 201</w:t>
            </w:r>
            <w:r>
              <w:rPr>
                <w:rFonts w:ascii="Times New Roman" w:eastAsia="Times New Roman" w:hAnsi="Times New Roman" w:cs="Times New Roman"/>
                <w:iCs/>
                <w:sz w:val="24"/>
                <w:szCs w:val="24"/>
                <w:lang w:eastAsia="lv-LV"/>
              </w:rPr>
              <w:t>8</w:t>
            </w:r>
            <w:r w:rsidRPr="00DF6368">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gada 1</w:t>
            </w:r>
            <w:r>
              <w:rPr>
                <w:rFonts w:ascii="Times New Roman" w:eastAsia="Times New Roman" w:hAnsi="Times New Roman" w:cs="Times New Roman"/>
                <w:iCs/>
                <w:sz w:val="24"/>
                <w:szCs w:val="24"/>
                <w:lang w:eastAsia="lv-LV"/>
              </w:rPr>
              <w:t>8</w:t>
            </w:r>
            <w:r w:rsidRPr="00DF6368">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decembra sēdes protokol</w:t>
            </w:r>
            <w:r w:rsidR="00ED397F">
              <w:rPr>
                <w:rFonts w:ascii="Times New Roman" w:eastAsia="Times New Roman" w:hAnsi="Times New Roman" w:cs="Times New Roman"/>
                <w:iCs/>
                <w:sz w:val="24"/>
                <w:szCs w:val="24"/>
                <w:lang w:eastAsia="lv-LV"/>
              </w:rPr>
              <w:t>a</w:t>
            </w:r>
            <w:r w:rsidRPr="00DF6368">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6</w:t>
            </w:r>
            <w:r>
              <w:rPr>
                <w:rFonts w:ascii="Times New Roman" w:eastAsia="Times New Roman" w:hAnsi="Times New Roman" w:cs="Times New Roman"/>
                <w:iCs/>
                <w:sz w:val="24"/>
                <w:szCs w:val="24"/>
                <w:lang w:eastAsia="lv-LV"/>
              </w:rPr>
              <w:t>0</w:t>
            </w:r>
            <w:r w:rsidRPr="00DF636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98</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 xml:space="preserve"> 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sistēmas īstenošana</w:t>
            </w:r>
            <w:r w:rsidR="002218A4" w:rsidRPr="002218A4">
              <w:rPr>
                <w:rFonts w:ascii="Times New Roman" w:eastAsia="Times New Roman" w:hAnsi="Times New Roman" w:cs="Times New Roman"/>
                <w:iCs/>
                <w:sz w:val="24"/>
                <w:szCs w:val="24"/>
                <w:lang w:eastAsia="lv-LV"/>
              </w:rPr>
              <w:t>"</w:t>
            </w:r>
            <w:r w:rsidR="00D9066F">
              <w:rPr>
                <w:rFonts w:ascii="Times New Roman" w:eastAsia="Times New Roman" w:hAnsi="Times New Roman" w:cs="Times New Roman"/>
                <w:iCs/>
                <w:sz w:val="24"/>
                <w:szCs w:val="24"/>
                <w:lang w:eastAsia="lv-LV"/>
              </w:rPr>
              <w:t>.</w:t>
            </w:r>
          </w:p>
        </w:tc>
      </w:tr>
      <w:tr w:rsidR="0049292E" w:rsidRPr="009162AC" w14:paraId="72555C6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3E"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C3F" w14:textId="77777777" w:rsidR="00E5323B" w:rsidRPr="009162AC" w:rsidRDefault="00E5323B" w:rsidP="00E1737E">
            <w:pPr>
              <w:spacing w:after="0" w:line="240" w:lineRule="auto"/>
              <w:jc w:val="both"/>
              <w:rPr>
                <w:rFonts w:ascii="Times New Roman" w:eastAsia="Times New Roman" w:hAnsi="Times New Roman" w:cs="Times New Roman"/>
                <w:iCs/>
                <w:sz w:val="24"/>
                <w:szCs w:val="24"/>
                <w:lang w:eastAsia="lv-LV"/>
              </w:rPr>
            </w:pPr>
            <w:r w:rsidRPr="00941620">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299D9E7" w14:textId="77777777"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Saskaņā ar Administratīvo sodu sistēmas attīstības koncepcijas kopsavilkuma 6. punktu Latvijas Administratīvo pārkāpumu kodekss (turpmāk – LAPK) ir novecojis – tas neatbilst juridiskās tehnikas prasībām, pastāvošajai tiesību sistēmai un moderna tiesību akta juridiskajai konstrukcijai kopumā. Līdz ar to tika izstrādāts jauns administratīvo pārkāpumu procesa likums (Administratīvās atbildības likums), tajā ietverot LAPK vispārīgās daļas un procesuālās daļas regulējumu, savukārt nozaru speciālajos likumos tiek ietverti LAPK Sevišķajā daļā paredzētie administratīvo pārkāpumu sastāvi. Nozaru speciālajos likumos nosakāmas arī kompetentās iestādes, kas izskatīs administratīvo pārkāpumu lietas.</w:t>
            </w:r>
          </w:p>
          <w:p w14:paraId="63492AF6" w14:textId="2C0404CC"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 xml:space="preserve">Likumprojekts izstrādāts atbilstoši informatīvā ziņojuma "Nozaru administratīvo pārkāpumu </w:t>
            </w:r>
            <w:r w:rsidRPr="00A454F9">
              <w:rPr>
                <w:rFonts w:ascii="Times New Roman" w:eastAsia="Times New Roman" w:hAnsi="Times New Roman" w:cs="Times New Roman"/>
                <w:iCs/>
                <w:sz w:val="24"/>
                <w:szCs w:val="24"/>
                <w:lang w:eastAsia="lv-LV"/>
              </w:rPr>
              <w:lastRenderedPageBreak/>
              <w:t>kodifikācijas ieviešanas sistēma", kas tika pieņemts zināšanai Ministru kabineta 2014. gada 22. aprīļa sēdē (prot. Nr. 24 26. §), 1. pielikumā noteiktajam un ietver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pantā paredzēto administratīvo pārkāpumu sastāvus.</w:t>
            </w:r>
          </w:p>
          <w:p w14:paraId="09021A7B" w14:textId="3138C31A"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pantā paredzētie administratīvo pārkāpumu sastāvi attiecas gan uz Priekšvēlēšanu aģitācijas likumu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pirmā, trešā, ceturtā, sestā, septītā, astotā daļa), gan likumu "Par tautas nobalsošanu, likumu ierosināšanu un Eiropas pilsoņu iniciatīvu"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pirmā, otrā, piektā, sestā, astotā daļa).</w:t>
            </w:r>
          </w:p>
          <w:p w14:paraId="30BE9582" w14:textId="77777777"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 xml:space="preserve">Saskaņā ar Ministru kabineta 2013. gada 4. februāra rīkojuma Nr. 38 "Par Administratīvo sodu sistēmas attīstības koncepciju" 3. punktu administratīvo pārkāpumu kodifikācijas ieviešanas procesā nepieciešams izvērtēt pastāvošo administratīvo pārkāpumu turpmāku saglabāšanu administratīvo pārkāpumu sistēmā, ņemot vērā nodarījuma bīstamību, sabiedrisko kaitīgumu, nodarījuma sekas, nodarījuma aktualitāti un nodarījuma </w:t>
            </w:r>
            <w:proofErr w:type="spellStart"/>
            <w:r w:rsidRPr="00A454F9">
              <w:rPr>
                <w:rFonts w:ascii="Times New Roman" w:eastAsia="Times New Roman" w:hAnsi="Times New Roman" w:cs="Times New Roman"/>
                <w:iCs/>
                <w:sz w:val="24"/>
                <w:szCs w:val="24"/>
                <w:lang w:eastAsia="lv-LV"/>
              </w:rPr>
              <w:t>attiecināmību</w:t>
            </w:r>
            <w:proofErr w:type="spellEnd"/>
            <w:r w:rsidRPr="00A454F9">
              <w:rPr>
                <w:rFonts w:ascii="Times New Roman" w:eastAsia="Times New Roman" w:hAnsi="Times New Roman" w:cs="Times New Roman"/>
                <w:iCs/>
                <w:sz w:val="24"/>
                <w:szCs w:val="24"/>
                <w:lang w:eastAsia="lv-LV"/>
              </w:rPr>
              <w:t xml:space="preserve"> uz publiski tiesiskajām attiecībām.</w:t>
            </w:r>
          </w:p>
          <w:p w14:paraId="1A7A783E" w14:textId="0AFDFE30"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 xml:space="preserve">Priekšvēlēšanu aģitācija  ir  politiskās partijas, politisko partiju apvienības, vēlētāju apvienības vai deputāta kandidāta reklamēšana plašsaziņas līdzekļos vai citādā veidā, ja tā satur tiešu vai netiešu aicinājumu balsot par vai pret kādu politisko partiju, politisko partiju apvienību, vēlētāju apvienību vai deputāta kandidātu. Savukārt aģitācija pirms tautas nobalsošanas, aģitācija par likuma ierosināšanu un aģitācija par Saeimas atsaukšanas ierosināšanu ir organizēts jebkuras formas vai jebkura veida paziņojums, pasākums vai darbība, ja tā ietver tiešu vai netiešu aicinājumu balsot par vai pret tautas nobalsošanā izlemjamo jautājumu, kā arī tiešu vai netiešu aicinājumu piedalīties vai nepiedalīties tautas nobalsošanā, parakstu vākšanā par likuma ierosināšanu vai parakstu vākšanā par Saeimas atsaukšanas ierosināšanu. Normatīvajos aktos noteiktā aģitācijas kārtība ir cieši saistīta ar personas tiesību vēlēt un tiesību tikt ievēlētai, ko paredz Latvijas Republikas Satversmes 101., 8. un 9. pants, ANO Vispārējās cilvēka tiesību deklarācijas 21. pants, ANO Starptautiskā pakta par pilsoniskajām un politiskajām tiesībām 25. pants, Eiropas Cilvēktiesību un pamatbrīvību aizsardzības konvencijas Pirmā protokola 3. pants, īstenošanu. Vēlēšanu tiesības un vēlēšanu sistēmas principi mūsdienu demokrātijās tiek nostiprināti konstitucionālā līmenī, un demokrātisku valstu vēlēšanu sistēmu pamatprincipi ir kopīgi – vēlēšanām jābūt vispārīgām, vienlīdzīgām, brīvām un aizklātām </w:t>
            </w:r>
            <w:r w:rsidRPr="00A454F9">
              <w:rPr>
                <w:rFonts w:ascii="Times New Roman" w:eastAsia="Times New Roman" w:hAnsi="Times New Roman" w:cs="Times New Roman"/>
                <w:i/>
                <w:iCs/>
                <w:sz w:val="24"/>
                <w:szCs w:val="24"/>
                <w:lang w:eastAsia="lv-LV"/>
              </w:rPr>
              <w:t xml:space="preserve">(Augstākās tiesas Senāta Administratīvo lietu </w:t>
            </w:r>
            <w:r w:rsidRPr="00A454F9">
              <w:rPr>
                <w:rFonts w:ascii="Times New Roman" w:eastAsia="Times New Roman" w:hAnsi="Times New Roman" w:cs="Times New Roman"/>
                <w:i/>
                <w:iCs/>
                <w:sz w:val="24"/>
                <w:szCs w:val="24"/>
                <w:lang w:eastAsia="lv-LV"/>
              </w:rPr>
              <w:lastRenderedPageBreak/>
              <w:t>departamenta 2006. gada 3. novembra sprieduma lietā Nr. SA-5/2006 10.1. punkts)</w:t>
            </w:r>
            <w:r w:rsidRPr="00A454F9">
              <w:rPr>
                <w:rFonts w:ascii="Times New Roman" w:eastAsia="Times New Roman" w:hAnsi="Times New Roman" w:cs="Times New Roman"/>
                <w:iCs/>
                <w:sz w:val="24"/>
                <w:szCs w:val="24"/>
                <w:lang w:eastAsia="lv-LV"/>
              </w:rPr>
              <w:t xml:space="preserve">. Tiesības vēlēt un tikt ievēlētam nodrošina pilsoņu pārstāvību valsts un pašvaldību darbā un tās paredz ļoti svarīgas tiesības, kas kalpo kā garants demokrātiskas iekārtas pastāvēšanai un ir vērstas uz demokrātiskas valsts iekārtas leģitimitātes nodrošināšanu. Arī Satversmes tiesas praksē atzīts, ka politiskās partijas veido saikni starp sabiedrību un valsts varu, nodrošinot organizētu sabiedrības līdzdalību politiskajos procesos </w:t>
            </w:r>
            <w:r w:rsidRPr="00A454F9">
              <w:rPr>
                <w:rFonts w:ascii="Times New Roman" w:eastAsia="Times New Roman" w:hAnsi="Times New Roman" w:cs="Times New Roman"/>
                <w:i/>
                <w:iCs/>
                <w:sz w:val="24"/>
                <w:szCs w:val="24"/>
                <w:lang w:eastAsia="lv-LV"/>
              </w:rPr>
              <w:t>(sk. Satversmes tiesas 2015. gada 5. februāra sprieduma lietā Nr.</w:t>
            </w:r>
            <w:r w:rsidRPr="00A454F9">
              <w:rPr>
                <w:rFonts w:ascii="Calibri" w:eastAsia="Calibri" w:hAnsi="Calibri" w:cs="Times New Roman"/>
                <w:i/>
              </w:rPr>
              <w:t xml:space="preserve"> </w:t>
            </w:r>
            <w:r w:rsidRPr="00A454F9">
              <w:rPr>
                <w:rFonts w:ascii="Times New Roman" w:eastAsia="Times New Roman" w:hAnsi="Times New Roman" w:cs="Times New Roman"/>
                <w:i/>
                <w:iCs/>
                <w:sz w:val="24"/>
                <w:szCs w:val="24"/>
                <w:lang w:eastAsia="lv-LV"/>
              </w:rPr>
              <w:t>2014-03-01 20.punktu)</w:t>
            </w:r>
            <w:r w:rsidRPr="00A454F9">
              <w:rPr>
                <w:rFonts w:ascii="Times New Roman" w:eastAsia="Times New Roman" w:hAnsi="Times New Roman" w:cs="Times New Roman"/>
                <w:iCs/>
                <w:sz w:val="24"/>
                <w:szCs w:val="24"/>
                <w:lang w:eastAsia="lv-LV"/>
              </w:rPr>
              <w:t xml:space="preserve">. Vienlīdzīgu un brīvu vēlēšanu principi arī piekrīt demokrātisku valstu vēlēšanu sistēmu pamatprincipiem un ietver to, ka katram vēlētājam ir viena balss vai vienāds skaits balsu, ievēlamo deputātu skaits ir vienmērīgi sadalīts starp vēlēšanu apgabaliem un visu politisko partiju un vēlēšanu kandidātu iespējas ir vienlīdzīgas </w:t>
            </w:r>
            <w:r w:rsidRPr="00A454F9">
              <w:rPr>
                <w:rFonts w:ascii="Times New Roman" w:eastAsia="Times New Roman" w:hAnsi="Times New Roman" w:cs="Times New Roman"/>
                <w:i/>
                <w:iCs/>
                <w:sz w:val="24"/>
                <w:szCs w:val="24"/>
                <w:lang w:eastAsia="lv-LV"/>
              </w:rPr>
              <w:t>(sk. Augstākās tiesas Senāta Administratīvo lietu departamenta 2011. gada 22. septembra sprieduma lietā Nr. SKA-311/2011</w:t>
            </w:r>
            <w:r w:rsidRPr="00A454F9">
              <w:rPr>
                <w:rFonts w:ascii="Times New Roman" w:eastAsia="Times New Roman" w:hAnsi="Times New Roman" w:cs="Times New Roman"/>
                <w:i/>
                <w:iCs/>
                <w:color w:val="FF0000"/>
                <w:sz w:val="24"/>
                <w:szCs w:val="24"/>
                <w:lang w:eastAsia="lv-LV"/>
              </w:rPr>
              <w:t xml:space="preserve"> </w:t>
            </w:r>
            <w:r w:rsidRPr="00A454F9">
              <w:rPr>
                <w:rFonts w:ascii="Times New Roman" w:eastAsia="Times New Roman" w:hAnsi="Times New Roman" w:cs="Times New Roman"/>
                <w:i/>
                <w:iCs/>
                <w:sz w:val="24"/>
                <w:szCs w:val="24"/>
                <w:lang w:eastAsia="lv-LV"/>
              </w:rPr>
              <w:t>11. punktu)</w:t>
            </w:r>
            <w:r w:rsidRPr="00A454F9">
              <w:rPr>
                <w:rFonts w:ascii="Times New Roman" w:eastAsia="Times New Roman" w:hAnsi="Times New Roman" w:cs="Times New Roman"/>
                <w:iCs/>
                <w:sz w:val="24"/>
                <w:szCs w:val="24"/>
                <w:lang w:eastAsia="lv-LV"/>
              </w:rPr>
              <w:t xml:space="preserve">. Iespējas ir vienlīdzīgas, ja valsts institūciju attieksme pret visiem kandidātu sarakstiem ir neitrāla. Tas attiecas uz kandidātu sarakstu vēlēšanu kampaņu, plašsaziņas līdzekļu pieejamību tiem, kā arī partiju un to kampaņu publisko finansēšanu. Savukārt vēlēšanas ir brīvas, ja vēlētāji var brīvi veidot savus uzskatus un paust savas vēlmes, kā arī cīnīties pret </w:t>
            </w:r>
            <w:r w:rsidR="00D9066F">
              <w:rPr>
                <w:rFonts w:ascii="Times New Roman" w:eastAsia="Times New Roman" w:hAnsi="Times New Roman" w:cs="Times New Roman"/>
                <w:iCs/>
                <w:sz w:val="24"/>
                <w:szCs w:val="24"/>
                <w:lang w:eastAsia="lv-LV"/>
              </w:rPr>
              <w:t>vēlēšanu procedūras pārkāpumiem</w:t>
            </w:r>
            <w:r w:rsidRPr="00A454F9">
              <w:rPr>
                <w:rFonts w:ascii="Times New Roman" w:eastAsia="Times New Roman" w:hAnsi="Times New Roman" w:cs="Times New Roman"/>
                <w:iCs/>
                <w:sz w:val="24"/>
                <w:szCs w:val="24"/>
                <w:lang w:eastAsia="lv-LV"/>
              </w:rPr>
              <w:t xml:space="preserve"> </w:t>
            </w:r>
            <w:r w:rsidRPr="00A454F9">
              <w:rPr>
                <w:rFonts w:ascii="Times New Roman" w:eastAsia="Times New Roman" w:hAnsi="Times New Roman" w:cs="Times New Roman"/>
                <w:i/>
                <w:iCs/>
                <w:sz w:val="24"/>
                <w:szCs w:val="24"/>
                <w:lang w:eastAsia="lv-LV"/>
              </w:rPr>
              <w:t>(sk. Satversmes tiesas sprieduma lietā Nr.2002-08-01 secinājumu daļu)</w:t>
            </w:r>
            <w:r w:rsidRPr="00A454F9">
              <w:rPr>
                <w:rFonts w:ascii="Times New Roman" w:eastAsia="Times New Roman" w:hAnsi="Times New Roman" w:cs="Times New Roman"/>
                <w:iCs/>
                <w:sz w:val="24"/>
                <w:szCs w:val="24"/>
                <w:lang w:eastAsia="lv-LV"/>
              </w:rPr>
              <w:t xml:space="preserve">. Pārkāpjot likumdevēja noteikto aģitācijas kārtību, tiek pārkāptas arī vēlēšanu tiesības un vēlēšanu sistēmas principi, tādējādi gan vēlētāju, gan deputātu kandidātu tiesībām un tiesiskajām interesēm un valsts pārvaldības kārtībai kopumā tiek nodarīts būtisks kaitējums, jo aģitācijas ierobežojumu mērķis ir nodrošināt godīgas vēlēšanas, līdzsvarojot kandidātu izredzes un mazinot arī naudas ietekmi uz vēlēšanu rezultātu. 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pantā</w:t>
            </w:r>
            <w:r w:rsidRPr="00A454F9">
              <w:rPr>
                <w:rFonts w:ascii="Times New Roman" w:eastAsia="Times New Roman" w:hAnsi="Times New Roman" w:cs="Times New Roman"/>
                <w:iCs/>
                <w:sz w:val="24"/>
                <w:szCs w:val="24"/>
                <w:lang w:eastAsia="lv-LV"/>
              </w:rPr>
              <w:t xml:space="preserve"> paredzētie administratīvo pārkāpumu sastāvi ietekmē iespēju sabiedrībai saņemt vispusīgu informāciju par deputātu kandidātiem, deputātu kandidātu sarakstiem, politiskajām partijām, politisko partiju un vēlētāju apvienībām, kā arī paredzēto tautas nobalsošanu, vai likumu ierosināšanu. Ņemot vērā minēto, kā arī aģitācijas periodos pastāvošo aktualitāti par iespējamiem informācijas telpas apdraudējumiem un salīdzinoši īsos priekšvēlēšanu aģitācijas periodus, pirms tautas nobalsošanas notiekošās aģitācijas periodus, par likuma ierosināšanu notiekošās aģitācijas periodus vai par Saeimas atsaukšanas ierosināšanu notiekošās aģitācijas periodus, šie administratīvie </w:t>
            </w:r>
            <w:r w:rsidRPr="00A454F9">
              <w:rPr>
                <w:rFonts w:ascii="Times New Roman" w:eastAsia="Times New Roman" w:hAnsi="Times New Roman" w:cs="Times New Roman"/>
                <w:iCs/>
                <w:sz w:val="24"/>
                <w:szCs w:val="24"/>
                <w:lang w:eastAsia="lv-LV"/>
              </w:rPr>
              <w:lastRenderedPageBreak/>
              <w:t>pārkāpumi aizskar sabiedriskās intereses tik lielā mērā, lai attaisnotu nepieciešamību tos saglabāt.</w:t>
            </w:r>
          </w:p>
          <w:p w14:paraId="67639818" w14:textId="763A89C2"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Izvērtējot pēdējo trīs gadu statistikas datus, jāņem vērā nodarījumu sasaisti ar noteiktiem periodiem, proti, jāņem vērā, ka pēdējās pašvaldību vēlēšanas notika 2017. gada 3. jūnijā, 13. Saeimas vēlēšanas notika 2018. gada 6. oktobrī un Eiropas Parlamenta vēlēšanas notika 2019. gada 25. maijā, savukārt pēdējā tautas nobalsošana notika 2012. gadā (par grozījumiem Latvijas Republikas Satversmē), līdz ar to, piemēram, 2016. gadā nav piemērots neviens administratīvais sods par attiecīgā panta pārkāpumiem. Laika periodā no 2017. gada 1. janvāra līdz 2019. gada 1. augustam jautājums par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panta piemērošanu kopumā izskatīts 55 administratīvo pārkāpumu lietās (7 administratīvo pārkāpumu lietās konstatēti vairāki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pantā paredzētie pārkāpumi; 10 lietās vēl nav pieņemts galīgais lēmums administratīvā pārkāpuma lietā, jo protokoli par administratīvajiem pārkāpumiem nosūtīti tiesai,</w:t>
            </w:r>
            <w:r w:rsidRPr="00A454F9">
              <w:rPr>
                <w:rFonts w:ascii="Calibri" w:eastAsia="Calibri" w:hAnsi="Calibri" w:cs="Times New Roman"/>
              </w:rPr>
              <w:t xml:space="preserve"> </w:t>
            </w:r>
            <w:r w:rsidRPr="00A454F9">
              <w:rPr>
                <w:rFonts w:ascii="Times New Roman" w:eastAsia="Times New Roman" w:hAnsi="Times New Roman" w:cs="Times New Roman"/>
                <w:iCs/>
                <w:sz w:val="24"/>
                <w:szCs w:val="24"/>
                <w:lang w:eastAsia="lv-LV"/>
              </w:rPr>
              <w:t>kas pilnvarota izskatīt administratīvā pārkāpuma lietu (par pārkāpumiem, kas paredzēti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pirmajā daļā)</w:t>
            </w:r>
            <w:r w:rsidR="00790980">
              <w:rPr>
                <w:rFonts w:ascii="Times New Roman" w:eastAsia="Times New Roman" w:hAnsi="Times New Roman" w:cs="Times New Roman"/>
                <w:iCs/>
                <w:sz w:val="24"/>
                <w:szCs w:val="24"/>
                <w:lang w:eastAsia="lv-LV"/>
              </w:rPr>
              <w:t>)</w:t>
            </w:r>
            <w:r w:rsidRPr="00A454F9">
              <w:rPr>
                <w:rFonts w:ascii="Times New Roman" w:eastAsia="Times New Roman" w:hAnsi="Times New Roman" w:cs="Times New Roman"/>
                <w:iCs/>
                <w:sz w:val="24"/>
                <w:szCs w:val="24"/>
                <w:lang w:eastAsia="lv-LV"/>
              </w:rPr>
              <w:t>; 7 lietās izbeigta administratīvā lietvedība; administratīvie sodi uzlikti kopumā 38 administratīvo pārkāpumu lietās. Laika periodā no 2017. gada 1. janvāra līdz 2019. gada 1. augustam par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pirmajā daļā paredzēto pārkāpumu administratīvais sods uzlikts 11 administratīvo pārkāpumu lietās, 10 lietās vēl nav pieņemts lēmums (protokoli par administratīvajiem pārkāpumiem nosūtīti tiesai), 6 lietās izbeigta administratīvā lietvedība. Trīs administratīvo pārkāpumu lietās piemērots brīdinājums, 8 lietās piemērots naudas sods no 10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līdz 100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panta otrā, trešā un piektā daļa laika periodā no 2017. gada 1. janvāra līdz 2019. gada 1. augustam nav piemērota, taču jāņem vērā, ka otrā un piektā daļa attiecas tikai uz aģitāciju pirms tautas nobalsošanas, aģitāciju par likumu ierosināšanu vai aģitāciju par Saeimas atsaukšanas ierosināšanu (pēdējā tautas nobalsošana notika 2012.gadā).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ceturtā daļa laika periodā no 2017. gada 1. janvāra līdz 2019. gada 1. augustam piemērota vienu reizi, uzliekot naudas sodu 140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apmērā. Savukārt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sestā daļa piemērota 13 administratīvo pārkāpumu lietās, uzliekot par minētajiem pārkāpumiem naudas sodus no 50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līdz 250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Laika periodā no 2017. gada 1. janvāra līdz 2019. gada 1. augustam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septītā daļa piemērota divās administratīvo pārkāpumu lietās, nosakot naudas sodus – 1400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un 70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savukārt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astotā daļa piemērota 18 administratīvo pārkāpumu lietās, kā arī vienā lietā izbeigta administratīvā lietvedība. Izskatītajās </w:t>
            </w:r>
            <w:r w:rsidRPr="00A454F9">
              <w:rPr>
                <w:rFonts w:ascii="Times New Roman" w:eastAsia="Times New Roman" w:hAnsi="Times New Roman" w:cs="Times New Roman"/>
                <w:iCs/>
                <w:sz w:val="24"/>
                <w:szCs w:val="24"/>
                <w:lang w:eastAsia="lv-LV"/>
              </w:rPr>
              <w:lastRenderedPageBreak/>
              <w:t xml:space="preserve">administratīvo pārkāpumu lietās piemēroti naudas sodi no 40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līdz 1400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Times New Roman" w:hAnsi="Times New Roman" w:cs="Times New Roman"/>
                <w:iCs/>
                <w:sz w:val="24"/>
                <w:szCs w:val="24"/>
                <w:lang w:eastAsia="lv-LV"/>
              </w:rPr>
              <w:t xml:space="preserve">. Lai arī, analizējot pēdējo trīs gadu statistikas datus, personas pie administratīvās atbildības par 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pantā</w:t>
            </w:r>
            <w:r w:rsidRPr="00A454F9">
              <w:rPr>
                <w:rFonts w:ascii="Times New Roman" w:eastAsia="Times New Roman" w:hAnsi="Times New Roman" w:cs="Times New Roman"/>
                <w:iCs/>
                <w:sz w:val="24"/>
                <w:szCs w:val="24"/>
                <w:lang w:eastAsia="lv-LV"/>
              </w:rPr>
              <w:t xml:space="preserve"> paredzētajiem pārkāpumiem ir sauktas skaitliski maz (kas saistīts arī ar periodisku pārkāpumu aktualitāti), tomēr konstatēto pārkāpumu skaits vērtējams joprojām kā būtisks, līdz ar to ir nepieciešams saglabāt administratīvo sodu par 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pantā</w:t>
            </w:r>
            <w:r w:rsidRPr="00A454F9">
              <w:rPr>
                <w:rFonts w:ascii="Times New Roman" w:eastAsia="Times New Roman" w:hAnsi="Times New Roman" w:cs="Times New Roman"/>
                <w:iCs/>
                <w:sz w:val="24"/>
                <w:szCs w:val="24"/>
                <w:lang w:eastAsia="lv-LV"/>
              </w:rPr>
              <w:t xml:space="preserve"> paredzētajiem pārkāpumiem, jo tas rada būtiskas sekas gan attiecībā uz likumā ietverto principu, kas paredz visiem vienlīdzīgus noteikumus aģitācijai, gan iespēju sabiedrībai saņemt vispusīgu informāciju, kā arī sabiedrības drošību kopumā, proti, a</w:t>
            </w:r>
            <w:r w:rsidRPr="00A454F9">
              <w:rPr>
                <w:rFonts w:ascii="Times New Roman" w:eastAsia="Calibri" w:hAnsi="Times New Roman" w:cs="Times New Roman"/>
                <w:sz w:val="24"/>
              </w:rPr>
              <w:t>dministratīvo pārkāpumu sastāvu</w:t>
            </w:r>
            <w:r w:rsidRPr="00A454F9">
              <w:rPr>
                <w:rFonts w:ascii="Calibri" w:eastAsia="Calibri" w:hAnsi="Calibri" w:cs="Times New Roman"/>
              </w:rPr>
              <w:t xml:space="preserve"> </w:t>
            </w:r>
            <w:r w:rsidRPr="00A454F9">
              <w:rPr>
                <w:rFonts w:ascii="Times New Roman" w:eastAsia="Times New Roman" w:hAnsi="Times New Roman" w:cs="Times New Roman"/>
                <w:iCs/>
                <w:sz w:val="24"/>
                <w:szCs w:val="24"/>
                <w:lang w:eastAsia="lv-LV"/>
              </w:rPr>
              <w:t xml:space="preserve">saglabāšana ir aktuāla nodarījumu bīstamības, seku un sabiedriskā kaitīguma apsvērumu dēļ. Likumprojektā paredzētie nodarījumi attiecas uz publiski tiesiskajām attiecībām un nav saistīti ar civiltiesisku saistību pārkāpšanu. </w:t>
            </w:r>
          </w:p>
          <w:p w14:paraId="72CECC0C" w14:textId="3EC3D548"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xml:space="preserve">Tieslietu ministrija attiecībā uz </w:t>
            </w:r>
            <w:r w:rsidRPr="00A454F9">
              <w:rPr>
                <w:rFonts w:ascii="Times New Roman" w:eastAsia="Times New Roman" w:hAnsi="Times New Roman" w:cs="Times New Roman"/>
                <w:iCs/>
                <w:sz w:val="24"/>
                <w:szCs w:val="24"/>
                <w:lang w:eastAsia="lv-LV"/>
              </w:rPr>
              <w:t xml:space="preserve">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pantā</w:t>
            </w:r>
            <w:r w:rsidRPr="00A454F9">
              <w:rPr>
                <w:rFonts w:ascii="Times New Roman" w:eastAsia="Times New Roman" w:hAnsi="Times New Roman" w:cs="Times New Roman"/>
                <w:iCs/>
                <w:sz w:val="24"/>
                <w:szCs w:val="24"/>
                <w:lang w:eastAsia="lv-LV"/>
              </w:rPr>
              <w:t xml:space="preserve"> paredzēto administratīvo pārkāpumu kodifikāciju norādījusi, ka 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panta</w:t>
            </w:r>
            <w:r w:rsidRPr="00A454F9">
              <w:rPr>
                <w:rFonts w:ascii="Times New Roman" w:eastAsia="Times New Roman" w:hAnsi="Times New Roman" w:cs="Times New Roman"/>
                <w:iCs/>
                <w:sz w:val="24"/>
                <w:szCs w:val="24"/>
                <w:lang w:eastAsia="lv-LV"/>
              </w:rPr>
              <w:t xml:space="preserve"> pirmās daļas vispārinājuma pakāpe ir tāda, kas faktiski aptver jebkuru likumā paredzēto aizliegumu un nosacījumu</w:t>
            </w:r>
            <w:r w:rsidRPr="00A454F9">
              <w:rPr>
                <w:rFonts w:ascii="Times New Roman" w:eastAsia="Calibri" w:hAnsi="Times New Roman" w:cs="Times New Roman"/>
                <w:sz w:val="24"/>
                <w:szCs w:val="24"/>
                <w:lang w:eastAsia="lv-LV"/>
              </w:rPr>
              <w:t>, līdz ar to nepieciešams izvērtēt, vai par pārkāpumiem ir jāparedz administratīvā atbildība, un kādai jābūt administratīvo pārkāpumu dispozīciju izteiksmes formai – vispārīgai vai precīzai. Ņemot vērā Korupcijas novēršanas un apkarošanas biroja (turpmāk arī – Birojs) iepriekš norādīto attiecībā uz nepieciešamību saglabāt normatīvajos aktos noteiktos aģitācijas kārtības pārkāpumus, Biroja ieskatā regulējums ir saglabājams, taču pārkāpuma formulējums būtu pārskatāms, ietverot to vienā pantā, jo faktiski LAPK 204.</w:t>
            </w:r>
            <w:r w:rsidRPr="00A454F9">
              <w:rPr>
                <w:rFonts w:ascii="Times New Roman" w:eastAsia="Calibri" w:hAnsi="Times New Roman" w:cs="Times New Roman"/>
                <w:sz w:val="24"/>
                <w:szCs w:val="24"/>
                <w:vertAlign w:val="superscript"/>
                <w:lang w:eastAsia="lv-LV"/>
              </w:rPr>
              <w:t>2</w:t>
            </w:r>
            <w:r w:rsidRPr="00A454F9">
              <w:rPr>
                <w:rFonts w:ascii="Times New Roman" w:eastAsia="Calibri" w:hAnsi="Times New Roman" w:cs="Times New Roman"/>
                <w:sz w:val="24"/>
                <w:szCs w:val="24"/>
                <w:lang w:eastAsia="lv-LV"/>
              </w:rPr>
              <w:t xml:space="preserve"> panta otrajā līdz astotajā daļā paredzētie pārkāpumi arī ir saistīti </w:t>
            </w:r>
            <w:r w:rsidR="00790980">
              <w:rPr>
                <w:rFonts w:ascii="Times New Roman" w:eastAsia="Calibri" w:hAnsi="Times New Roman" w:cs="Times New Roman"/>
                <w:sz w:val="24"/>
                <w:szCs w:val="24"/>
                <w:lang w:eastAsia="lv-LV"/>
              </w:rPr>
              <w:t>a</w:t>
            </w:r>
            <w:r w:rsidRPr="00A454F9">
              <w:rPr>
                <w:rFonts w:ascii="Times New Roman" w:eastAsia="Calibri" w:hAnsi="Times New Roman" w:cs="Times New Roman"/>
                <w:sz w:val="24"/>
                <w:szCs w:val="24"/>
                <w:lang w:eastAsia="lv-LV"/>
              </w:rPr>
              <w:t xml:space="preserve">r aģitācijas kārtības (pienākumu un ierobežojumu) vai aģitācijas pirms tautas nobalsošanas, aģitācijas par likumu ierosināšanu vai aģitācijas par Saeimas atsaukšanas ierosināšanu kārtības (pienākumu un ierobežojumu) pārkāpšanu, līdz ar to Biroja ieskatā nebūtu lietderīgi paredzēt gan vispārīgu normas formulējumu, gan konkrētu, kā tas ir bijis līdz šim LAPK </w:t>
            </w:r>
            <w:r w:rsidRPr="00A454F9">
              <w:rPr>
                <w:rFonts w:ascii="Times New Roman" w:eastAsia="Times New Roman" w:hAnsi="Times New Roman" w:cs="Times New Roman"/>
                <w:bCs/>
                <w:iCs/>
                <w:sz w:val="24"/>
                <w:szCs w:val="24"/>
                <w:lang w:eastAsia="lv-LV"/>
              </w:rPr>
              <w:t>204.</w:t>
            </w:r>
            <w:r w:rsidRPr="00A454F9">
              <w:rPr>
                <w:rFonts w:ascii="Times New Roman" w:eastAsia="Times New Roman" w:hAnsi="Times New Roman" w:cs="Times New Roman"/>
                <w:bCs/>
                <w:iCs/>
                <w:sz w:val="24"/>
                <w:szCs w:val="24"/>
                <w:vertAlign w:val="superscript"/>
                <w:lang w:eastAsia="lv-LV"/>
              </w:rPr>
              <w:t>2 </w:t>
            </w:r>
            <w:r w:rsidRPr="00A454F9">
              <w:rPr>
                <w:rFonts w:ascii="Times New Roman" w:eastAsia="Times New Roman" w:hAnsi="Times New Roman" w:cs="Times New Roman"/>
                <w:bCs/>
                <w:iCs/>
                <w:sz w:val="24"/>
                <w:szCs w:val="24"/>
                <w:lang w:eastAsia="lv-LV"/>
              </w:rPr>
              <w:t>pantā</w:t>
            </w:r>
            <w:r w:rsidRPr="00A454F9">
              <w:rPr>
                <w:rFonts w:ascii="Times New Roman" w:eastAsia="Calibri" w:hAnsi="Times New Roman" w:cs="Times New Roman"/>
                <w:sz w:val="24"/>
                <w:szCs w:val="24"/>
                <w:lang w:eastAsia="lv-LV"/>
              </w:rPr>
              <w:t>.</w:t>
            </w:r>
          </w:p>
          <w:p w14:paraId="0276E7D1" w14:textId="1D24AB2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Likumprojekt</w:t>
            </w:r>
            <w:r w:rsidR="002C7E56">
              <w:rPr>
                <w:rFonts w:ascii="Times New Roman" w:eastAsia="Calibri" w:hAnsi="Times New Roman" w:cs="Times New Roman"/>
                <w:sz w:val="24"/>
                <w:szCs w:val="24"/>
                <w:lang w:eastAsia="lv-LV"/>
              </w:rPr>
              <w:t>os</w:t>
            </w:r>
            <w:r w:rsidRPr="00A454F9">
              <w:rPr>
                <w:rFonts w:ascii="Times New Roman" w:eastAsia="Calibri" w:hAnsi="Times New Roman" w:cs="Times New Roman"/>
                <w:sz w:val="24"/>
                <w:szCs w:val="24"/>
                <w:lang w:eastAsia="lv-LV"/>
              </w:rPr>
              <w:t xml:space="preserve"> paredzēt</w:t>
            </w:r>
            <w:r w:rsidR="002C7E56">
              <w:rPr>
                <w:rFonts w:ascii="Times New Roman" w:eastAsia="Calibri" w:hAnsi="Times New Roman" w:cs="Times New Roman"/>
                <w:sz w:val="24"/>
                <w:szCs w:val="24"/>
                <w:lang w:eastAsia="lv-LV"/>
              </w:rPr>
              <w:t>ie</w:t>
            </w:r>
            <w:r w:rsidRPr="00A454F9">
              <w:rPr>
                <w:rFonts w:ascii="Times New Roman" w:eastAsia="Calibri" w:hAnsi="Times New Roman" w:cs="Times New Roman"/>
                <w:sz w:val="24"/>
                <w:szCs w:val="24"/>
                <w:lang w:eastAsia="lv-LV"/>
              </w:rPr>
              <w:t xml:space="preserve"> regulējum</w:t>
            </w:r>
            <w:r w:rsidR="002C7E56">
              <w:rPr>
                <w:rFonts w:ascii="Times New Roman" w:eastAsia="Calibri" w:hAnsi="Times New Roman" w:cs="Times New Roman"/>
                <w:sz w:val="24"/>
                <w:szCs w:val="24"/>
                <w:lang w:eastAsia="lv-LV"/>
              </w:rPr>
              <w:t>i</w:t>
            </w:r>
            <w:r w:rsidRPr="00A454F9">
              <w:rPr>
                <w:rFonts w:ascii="Times New Roman" w:eastAsia="Calibri" w:hAnsi="Times New Roman" w:cs="Times New Roman"/>
                <w:sz w:val="24"/>
                <w:szCs w:val="24"/>
                <w:lang w:eastAsia="lv-LV"/>
              </w:rPr>
              <w:t xml:space="preserve"> ietver, t.sk.:</w:t>
            </w:r>
          </w:p>
          <w:p w14:paraId="26A7EF5B"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aģitācijas pirms tautas nobalsošanas, aģitācijas par likumu ierosināšanu vai aģitācijas par Saeimas atsaukšanas ierosināšanu pārskata neiesniegšanu vai neiesniegšanu noteiktā termiņā;</w:t>
            </w:r>
          </w:p>
          <w:p w14:paraId="139632E8"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likumā noteiktās ar politiskajām partijām, to apvienībām un vēlētāju apvienībām nesaistītu personu veiktās priekšvēlēšanu aģitācijas apmaksas kārtības neievērošanu;</w:t>
            </w:r>
          </w:p>
          <w:p w14:paraId="042BA548"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lastRenderedPageBreak/>
              <w:t>- administratīvo resursu izmantošanas ierobežojumu neievērošanu priekšvēlēšanu aģitācijā;</w:t>
            </w:r>
          </w:p>
          <w:p w14:paraId="19707B13"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xml:space="preserve">- likumā noteikto finansēšanas nosacījumu neievērošanu aģitācijā pirms tautas nobalsošanas, aģitācijā par likumu ierosināšanu vai aģitācijā par Saeimas atsaukšanas ierosināšanu; </w:t>
            </w:r>
          </w:p>
          <w:p w14:paraId="0B2E390F"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xml:space="preserve">- likumā noteiktā paziņojuma par paredzamo priekšvēlēšanu aģitācijas, aģitācijas pirms tautas nobalsošanas, aģitācijas par likumu ierosināšanu vai aģitācijas par Saeimas atsaukšanas ierosināšanu materiālu izvietošanu nesniegšanu vai nepatiesu ziņu sniegšanu par to, minētā paziņojuma sniegšanas kārtības pārkāpšanu vai par līgumu slēgšanas nosacījumu neievērošanu; </w:t>
            </w:r>
          </w:p>
          <w:p w14:paraId="074FADEC"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priekšvēlēšanu aģitācijas materiālu izvietošanu, neiesniedzot aģitācijas materiālu izvietošanas izcenojumus, par priekšvēlēšanu aģitācijas materiālu izvietošanas izcenojumu grozīšanu;</w:t>
            </w:r>
          </w:p>
          <w:p w14:paraId="16CFF66D"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priekšvēlēšanu aģitācijas, aģitācijas pirms tautas nobalsošanas, aģitācijas par likumu ierosināšanu vai aģitācijas par Saeimas atsaukšanas ierosināšanu materiālu izvietošanas vai uzskaites kārtības neievērošanu;</w:t>
            </w:r>
          </w:p>
          <w:p w14:paraId="432D7636"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kā arī citus pārkāpumus, par kuriem personas sauktas pie administratīvās atbildības saskaņā ar LAPK 204.</w:t>
            </w:r>
            <w:r w:rsidRPr="00A454F9">
              <w:rPr>
                <w:rFonts w:ascii="Times New Roman" w:eastAsia="Calibri" w:hAnsi="Times New Roman" w:cs="Times New Roman"/>
                <w:sz w:val="24"/>
                <w:szCs w:val="24"/>
                <w:vertAlign w:val="superscript"/>
                <w:lang w:eastAsia="lv-LV"/>
              </w:rPr>
              <w:t>2</w:t>
            </w:r>
            <w:r w:rsidRPr="00A454F9">
              <w:rPr>
                <w:rFonts w:ascii="Times New Roman" w:eastAsia="Calibri" w:hAnsi="Times New Roman" w:cs="Times New Roman"/>
                <w:sz w:val="24"/>
                <w:szCs w:val="24"/>
                <w:lang w:eastAsia="lv-LV"/>
              </w:rPr>
              <w:t> panta pirmo daļu (likumā noteiktās priekšvēlēšanu aģitācijas kārtības vai aģitācijas pirms tautas nobalsošanas, aģitācijas par likumu ierosināšanu vai aģitācijas par Saeimas atsaukšanas ierosināšanu kārtības pārkāpšana), piemēram, aģitācijas materiālu izvietošanu vai aģitācijas veikšanu laikā, kad tas ir aizliegts, aģitācijas materiālu apmaksātāja nenorādīšana un tml.</w:t>
            </w:r>
          </w:p>
          <w:p w14:paraId="421CBB73" w14:textId="47A4F29B"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xml:space="preserve">Saskaņā ar Administratīvās atbildības likuma 8. panta otro daļu par pārkāpumiem, kurus izdarījusi privāto tiesību juridiskā persona, nozaru likumos noteiktajos gadījumos pie administratīvās atbildības sauc valdes locekli. Lai gan Politisko partiju likuma 35. panta pirmajā daļā ir noteikts, ka par partijas darbību saskaņā ar likumu un citu normatīvo aktu prasībām, kā arī par partijai saskaņā ar likumu noteikto uzdevumu izpildi ir atbildīga partijas valde, ja likumā nav noteikts citādi, tomēr jāņem vērā, ka Priekšvēlēšanu aģitācijas likums attiecas arī uz privāto tiesību juridiskajām personām (piemēram, nesaistītā persona var būt arī privāto tiesību juridiska persona), līdz ar to atbilstoši Administratīvās atbildības likuma 8. panta otrajai daļai likumprojektā nepieciešams noteikt, ka par pārkāpumiem, kurus izdarījusi privāto tiesību juridiskā persona, t.sk. politiska organizācija (partija), pie administratīvās atbildības sauc tās valdi. Biroja ieskatā, nosakot, ka pie </w:t>
            </w:r>
            <w:r w:rsidRPr="00A454F9">
              <w:rPr>
                <w:rFonts w:ascii="Times New Roman" w:eastAsia="Calibri" w:hAnsi="Times New Roman" w:cs="Times New Roman"/>
                <w:sz w:val="24"/>
                <w:szCs w:val="24"/>
                <w:lang w:eastAsia="lv-LV"/>
              </w:rPr>
              <w:lastRenderedPageBreak/>
              <w:t>administratīvās atbildības sauc politiskās organizācijas (partijas), privāto tiesību juridiskās personas valdi, tiktu veicināta arī administratīvā soda piemērošanas efektivitāte, kā arī tas stiprinātu administr</w:t>
            </w:r>
            <w:r w:rsidR="00D9066F">
              <w:rPr>
                <w:rFonts w:ascii="Times New Roman" w:eastAsia="Calibri" w:hAnsi="Times New Roman" w:cs="Times New Roman"/>
                <w:sz w:val="24"/>
                <w:szCs w:val="24"/>
                <w:lang w:eastAsia="lv-LV"/>
              </w:rPr>
              <w:t>atīvā soda preventīvo funkciju.</w:t>
            </w:r>
          </w:p>
          <w:p w14:paraId="63500FB4"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Ja privāto tiesību juridiskai personai ir vairāki valdes locekļi, tad sods tiek piemērots katram privāto tiesību juridiskās personas valdes loceklim, bet, ja valdes locekļu kompetence ir nodalīta un ir iespējams pierādīt, ka pārkāpuma izdarīšanā ir vainīgs konkrēts valdes loceklis, administratīvo sodu piemēro konkrētajam valdes loceklim.</w:t>
            </w:r>
          </w:p>
          <w:p w14:paraId="11775FEF" w14:textId="757FF486" w:rsidR="00A454F9" w:rsidRPr="00A454F9" w:rsidRDefault="00A454F9" w:rsidP="00A454F9">
            <w:pPr>
              <w:spacing w:after="0" w:line="240" w:lineRule="auto"/>
              <w:jc w:val="both"/>
              <w:rPr>
                <w:rFonts w:ascii="Times New Roman" w:eastAsia="Calibri" w:hAnsi="Times New Roman" w:cs="Times New Roman"/>
                <w:sz w:val="24"/>
                <w:lang w:eastAsia="lv-LV"/>
              </w:rPr>
            </w:pPr>
            <w:r w:rsidRPr="00A454F9">
              <w:rPr>
                <w:rFonts w:ascii="Times New Roman" w:eastAsia="Calibri" w:hAnsi="Times New Roman" w:cs="Times New Roman"/>
                <w:sz w:val="24"/>
                <w:lang w:eastAsia="lv-LV"/>
              </w:rPr>
              <w:t xml:space="preserve">Administratīvais sods ir ietekmēšanas līdzeklis, kas tiek piemērots administratīvo pārkāpumu izdarījušajai personai, lai aizsargātu sabiedrisko kārtību, atjaunotu taisnīgumu, sodītu par izdarīto pārkāpumu, kā arī atturētu administratīvo pārkāpumu izdarījušo personu un citas personas no turpmākas administratīvo pārkāpumu izdarīšanas. Līdz ar to normatīvajā aktā noteiktajam administratīvā soda apmēram būtu jābūt efektīvam, samērīgam un atturošam (preventīvam). Savukārt konkrētās administratīvā pārkāpuma lietas ietvaros administratīvo sodu piemērošanā jāņem vērā Administratīvās atbildības likuma 19. pantā noteiktie nosacījumi, līdz ar to administratīvā soda piemērošana konkrētās administratīvā pārkāpuma lietas ietvaros ir balstīta uz lietas apstākļu izvērtējumu. Izstrādājot likumprojektus, tika izvērtēta arī nepieciešamība saglabāt LAPK spēkā esošo administratīvo sodu apmēru. Izvērtējot administratīvo pārkāpumu lietu praksi un administratīvo pārkāpumu izdarījušo personu rīcību, secināts, ka nepieciešams palielināt maksimālo naudas soda apmēru, padarot administratīvos sodus efektīvākus, tādējādi sodam pildot arī lielāku preventīvo funkciju. Administratīvo lietu un administratīvo pārkāpumu lietu praksē tiek bieži konstatēta klaja normatīvo aktu ignorēšana – piemēram, priekšvēlēšanu periodā Birojs konstatēja, ka uz juridiskai personai piederošas ēkas fasādes ir izvietoti plakāti, kas atzīstami par priekšvēlēšanu aģitāciju un vienlaicīgi arī par slēpto priekšvēlēšanu aģitāciju. Plakātu izvietotājs uzskatīja, ka tā nav aģitācija un līdz ar to arī attiecīgie izcenojumi likumā noteiktajā kārtībā Birojam netika iesniegti. Priekšvēlēšanu aģitācijas likuma 22. panta piektā daļa noteic, ja reklāmas pakalpojumu sniedzējs atbilstoši šā panta noteikumiem un tajā paredzētajos termiņos nav nosūtījis Birojam priekšvēlēšanu aģitācijas materiālu izvietošanas izcenojumus, šim reklāmas pakalpojumu sniedzējam priekšvēlēšanu aģitācijas periodā ir aizliegts izvietot priekšvēlēšanu aģitācijas materiālus. </w:t>
            </w:r>
            <w:r w:rsidRPr="00A454F9">
              <w:rPr>
                <w:rFonts w:ascii="Times New Roman" w:eastAsia="Calibri" w:hAnsi="Times New Roman" w:cs="Times New Roman"/>
                <w:sz w:val="24"/>
                <w:lang w:eastAsia="lv-LV"/>
              </w:rPr>
              <w:lastRenderedPageBreak/>
              <w:t xml:space="preserve">Birojs izdeva administratīvo aktu, kurā norādīja uz juridiskās personas izdarīto likumpārkāpumu un izteica lūgumu nekavējoties novērst likumpārkāpumu, noņemot plakātus, kas ir priekšvēlēšanu aģitācija. Attiecīgajā gadījumā juridiskā persona uz izdoto </w:t>
            </w:r>
            <w:r w:rsidRPr="00A454F9">
              <w:rPr>
                <w:rFonts w:ascii="Times New Roman" w:eastAsia="Calibri" w:hAnsi="Times New Roman" w:cs="Times New Roman"/>
                <w:color w:val="000000"/>
                <w:sz w:val="24"/>
                <w:lang w:eastAsia="lv-LV"/>
              </w:rPr>
              <w:t xml:space="preserve">lēmumu nereaģēja, </w:t>
            </w:r>
            <w:r w:rsidRPr="00A454F9">
              <w:rPr>
                <w:rFonts w:ascii="Times New Roman" w:eastAsia="Calibri" w:hAnsi="Times New Roman" w:cs="Times New Roman"/>
                <w:sz w:val="24"/>
                <w:lang w:eastAsia="lv-LV"/>
              </w:rPr>
              <w:t xml:space="preserve">likumpārkāpumu nenovērsa un plakātus nenoņēma. Ņemot vērā minēto, kā arī radīto kaitējumu sabiedrības interesēm, tam sekoja Biroja veiktā plakātu piespiedu noņemšana. Lietā konstatētie apstākļi liek secināt, ka juridiskā persona un/vai reklamētā politiskā partija izvēlējās pārkāpt normatīvajos aktos noteikto aģitācijas kārtību, neskatoties uz likumā paredzētajām sankcijām (administratīvais sods 1400 </w:t>
            </w:r>
            <w:proofErr w:type="spellStart"/>
            <w:r w:rsidRPr="00A454F9">
              <w:rPr>
                <w:rFonts w:ascii="Times New Roman" w:eastAsia="Calibri" w:hAnsi="Times New Roman" w:cs="Times New Roman"/>
                <w:i/>
                <w:sz w:val="24"/>
                <w:lang w:eastAsia="lv-LV"/>
              </w:rPr>
              <w:t>euro</w:t>
            </w:r>
            <w:proofErr w:type="spellEnd"/>
            <w:r w:rsidRPr="00A454F9">
              <w:rPr>
                <w:rFonts w:ascii="Times New Roman" w:eastAsia="Calibri" w:hAnsi="Times New Roman" w:cs="Times New Roman"/>
                <w:sz w:val="24"/>
                <w:lang w:eastAsia="lv-LV"/>
              </w:rPr>
              <w:t xml:space="preserve">), turklāt tā labprātīgi nenovērsa likumpārkāpumu, kā rezultātā Birojs bija spiests to novērst piespiedu kārtā. Līdz ar to būtu jāpilnveido normatīvie akti, tai skaitā palielinot administratīvo sodu apmēru. </w:t>
            </w:r>
            <w:r w:rsidRPr="00A454F9">
              <w:rPr>
                <w:rFonts w:ascii="Times New Roman" w:eastAsia="Calibri" w:hAnsi="Times New Roman" w:cs="Times New Roman"/>
                <w:color w:val="000000"/>
                <w:sz w:val="24"/>
                <w:lang w:eastAsia="lv-LV"/>
              </w:rPr>
              <w:t xml:space="preserve">Vērtējot soda samērīgumu, jāņem vērā arī tas, ka </w:t>
            </w:r>
            <w:r w:rsidR="00621D2C">
              <w:rPr>
                <w:rFonts w:ascii="Times New Roman" w:eastAsia="Calibri" w:hAnsi="Times New Roman" w:cs="Times New Roman"/>
                <w:color w:val="000000"/>
                <w:sz w:val="24"/>
                <w:lang w:eastAsia="lv-LV"/>
              </w:rPr>
              <w:t>aģitācijas</w:t>
            </w:r>
            <w:r w:rsidRPr="00A454F9">
              <w:rPr>
                <w:rFonts w:ascii="Times New Roman" w:eastAsia="Calibri" w:hAnsi="Times New Roman" w:cs="Times New Roman"/>
                <w:color w:val="000000"/>
                <w:sz w:val="24"/>
                <w:lang w:eastAsia="lv-LV"/>
              </w:rPr>
              <w:t xml:space="preserve"> periods ir īss un pārkāpums </w:t>
            </w:r>
            <w:r w:rsidRPr="00A454F9">
              <w:rPr>
                <w:rFonts w:ascii="Times New Roman" w:eastAsia="Calibri" w:hAnsi="Times New Roman" w:cs="Times New Roman"/>
                <w:sz w:val="24"/>
                <w:lang w:eastAsia="lv-LV"/>
              </w:rPr>
              <w:t>var radīt nenovēršamu sabiedrības interešu aizskārumu.</w:t>
            </w:r>
          </w:p>
          <w:p w14:paraId="2BA80AC0" w14:textId="77777777" w:rsidR="00A454F9" w:rsidRPr="00A454F9" w:rsidRDefault="00A454F9" w:rsidP="00A454F9">
            <w:pPr>
              <w:spacing w:after="0" w:line="240" w:lineRule="auto"/>
              <w:jc w:val="both"/>
              <w:rPr>
                <w:rFonts w:ascii="Times New Roman" w:eastAsia="Calibri" w:hAnsi="Times New Roman" w:cs="Times New Roman"/>
                <w:sz w:val="24"/>
                <w:lang w:eastAsia="lv-LV"/>
              </w:rPr>
            </w:pPr>
            <w:r w:rsidRPr="00A454F9">
              <w:rPr>
                <w:rFonts w:ascii="Times New Roman" w:eastAsia="Calibri" w:hAnsi="Times New Roman" w:cs="Times New Roman"/>
                <w:sz w:val="24"/>
                <w:lang w:eastAsia="lv-LV"/>
              </w:rPr>
              <w:t xml:space="preserve">Ņemot vērā, ka likumprojektā sankcija attiecināta tikai uz fizisko personu un valdes locekli, Biroja ieskatā maksimālais naudas soda apmērs būtu nosakāms līdz 280 naudas soda vienībām (1400 </w:t>
            </w:r>
            <w:proofErr w:type="spellStart"/>
            <w:r w:rsidRPr="00A454F9">
              <w:rPr>
                <w:rFonts w:ascii="Times New Roman" w:eastAsia="Calibri" w:hAnsi="Times New Roman" w:cs="Times New Roman"/>
                <w:i/>
                <w:sz w:val="24"/>
                <w:lang w:eastAsia="lv-LV"/>
              </w:rPr>
              <w:t>euro</w:t>
            </w:r>
            <w:proofErr w:type="spellEnd"/>
            <w:r w:rsidRPr="00A454F9">
              <w:rPr>
                <w:rFonts w:ascii="Times New Roman" w:eastAsia="Calibri" w:hAnsi="Times New Roman" w:cs="Times New Roman"/>
                <w:sz w:val="24"/>
                <w:lang w:eastAsia="lv-LV"/>
              </w:rPr>
              <w:t xml:space="preserve">; šāds naudas soda apmērs iepriekš noteikts kā maksimālais juridiskām personām par </w:t>
            </w:r>
            <w:r w:rsidRPr="00A454F9">
              <w:rPr>
                <w:rFonts w:ascii="Times New Roman" w:eastAsia="Times New Roman" w:hAnsi="Times New Roman" w:cs="Times New Roman"/>
                <w:iCs/>
                <w:sz w:val="24"/>
                <w:szCs w:val="24"/>
                <w:lang w:eastAsia="lv-LV"/>
              </w:rPr>
              <w:t>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panta sestajā, septītajā un astotajā daļā paredzētajiem pārkāpumiem</w:t>
            </w:r>
            <w:r w:rsidRPr="00A454F9">
              <w:rPr>
                <w:rFonts w:ascii="Times New Roman" w:eastAsia="Calibri" w:hAnsi="Times New Roman" w:cs="Times New Roman"/>
                <w:sz w:val="24"/>
                <w:lang w:eastAsia="lv-LV"/>
              </w:rPr>
              <w:t>), likumprojektā nenosakot minimālo naudas soda apmēru (saskaņā ar Administratīvās atbildības likuma 16. panta trešo daļu minimālais naudas sods fiziskajām un juridiskajām personām ir divas naudas soda vienības). Jānorāda, ka arī 204.</w:t>
            </w:r>
            <w:r w:rsidRPr="00A454F9">
              <w:rPr>
                <w:rFonts w:ascii="Times New Roman" w:eastAsia="Calibri" w:hAnsi="Times New Roman" w:cs="Times New Roman"/>
                <w:sz w:val="24"/>
                <w:vertAlign w:val="superscript"/>
                <w:lang w:eastAsia="lv-LV"/>
              </w:rPr>
              <w:t>2</w:t>
            </w:r>
            <w:r w:rsidRPr="00A454F9">
              <w:rPr>
                <w:rFonts w:ascii="Times New Roman" w:eastAsia="Calibri" w:hAnsi="Times New Roman" w:cs="Times New Roman"/>
                <w:sz w:val="24"/>
                <w:lang w:eastAsia="lv-LV"/>
              </w:rPr>
              <w:t xml:space="preserve"> pantā noteiktajām sankcijām bija raksturīga minimālā naudas soda apmēra nenoteikšana, kā arī noteiktais apmērs nepārsniedz Administratīvās atbildības likuma 16. panta ceturtajā daļā noteikto maksimālo naudas sodu fiziskajām personām (400 naudas soda vienības). Laika periodā no 2017. gada 1. janvāra līdz 2019. gada 1. augustam maksimālais naudas soda apmērs (</w:t>
            </w:r>
            <w:r w:rsidRPr="00A454F9">
              <w:rPr>
                <w:rFonts w:ascii="Times New Roman" w:eastAsia="Times New Roman" w:hAnsi="Times New Roman" w:cs="Times New Roman"/>
                <w:iCs/>
                <w:sz w:val="24"/>
                <w:szCs w:val="24"/>
                <w:lang w:eastAsia="lv-LV"/>
              </w:rPr>
              <w:t xml:space="preserve">1400 </w:t>
            </w:r>
            <w:proofErr w:type="spellStart"/>
            <w:r w:rsidRPr="00A454F9">
              <w:rPr>
                <w:rFonts w:ascii="Times New Roman" w:eastAsia="Times New Roman" w:hAnsi="Times New Roman" w:cs="Times New Roman"/>
                <w:i/>
                <w:iCs/>
                <w:sz w:val="24"/>
                <w:szCs w:val="24"/>
                <w:lang w:eastAsia="lv-LV"/>
              </w:rPr>
              <w:t>euro</w:t>
            </w:r>
            <w:proofErr w:type="spellEnd"/>
            <w:r w:rsidRPr="00A454F9">
              <w:rPr>
                <w:rFonts w:ascii="Times New Roman" w:eastAsia="Calibri" w:hAnsi="Times New Roman" w:cs="Times New Roman"/>
                <w:sz w:val="24"/>
                <w:lang w:eastAsia="lv-LV"/>
              </w:rPr>
              <w:t xml:space="preserve">) piemērots divas reizes, kas arī norāda uz to, ka personas izvēlas pārkāpt normatīvajos aktos noteikto aģitācijas kārtību, neskatoties uz likumā paredzētajām sankcijām, līdz ar to sankcija Biroja ieskatā, lai tiktu veicināta arī administratīvā soda piemērošanas efektivitāte, kā arī tas stiprinātu administratīvā soda preventīvo funkciju, būtu jāattiecina uz fiziskām personām un valdes locekļiem, piemērojot maksimālo naudas soda apmēru tādu, kāds iepriekš noteikts juridiskām personām. Jāņem vērā arī tas, ka </w:t>
            </w:r>
            <w:r w:rsidRPr="00A454F9">
              <w:rPr>
                <w:rFonts w:ascii="Times New Roman" w:eastAsia="Times New Roman" w:hAnsi="Times New Roman" w:cs="Times New Roman"/>
                <w:iCs/>
                <w:sz w:val="24"/>
                <w:szCs w:val="24"/>
                <w:lang w:eastAsia="lv-LV"/>
              </w:rPr>
              <w:t>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panta</w:t>
            </w:r>
            <w:r w:rsidRPr="00A454F9">
              <w:rPr>
                <w:rFonts w:ascii="Times New Roman" w:eastAsia="Calibri" w:hAnsi="Times New Roman" w:cs="Times New Roman"/>
                <w:sz w:val="24"/>
                <w:lang w:eastAsia="lv-LV"/>
              </w:rPr>
              <w:t xml:space="preserve"> administratīvo pārkāpumu sastāvi tiek ietverti vienā likumprojekta pantā un līdz ar </w:t>
            </w:r>
            <w:r w:rsidRPr="00A454F9">
              <w:rPr>
                <w:rFonts w:ascii="Times New Roman" w:eastAsia="Calibri" w:hAnsi="Times New Roman" w:cs="Times New Roman"/>
                <w:sz w:val="24"/>
                <w:lang w:eastAsia="lv-LV"/>
              </w:rPr>
              <w:lastRenderedPageBreak/>
              <w:t>to arī pamatoti tiek noteikta lielāka sankcijā ietvertā naudas soda apmēra amplitūda, ņemot vērā, ka konkrētās administratīvā pārkāpuma lietas ietvaros administratīvo sodu piemērošanā jāņem vērā Administratīvās atbildības likuma 19. pantā noteiktie nosacījumi, piemērojamā administratīvā soda apmēra noteikšanu balstot uz katras konkrētās lietas apstākļu izvērtējumu.</w:t>
            </w:r>
          </w:p>
          <w:p w14:paraId="68B120B1" w14:textId="77777777"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Calibri" w:hAnsi="Times New Roman" w:cs="Times New Roman"/>
                <w:sz w:val="24"/>
                <w:szCs w:val="24"/>
                <w:lang w:eastAsia="lv-LV"/>
              </w:rPr>
              <w:t>LAPK 204.</w:t>
            </w:r>
            <w:r w:rsidRPr="00A454F9">
              <w:rPr>
                <w:rFonts w:ascii="Times New Roman" w:eastAsia="Calibri" w:hAnsi="Times New Roman" w:cs="Times New Roman"/>
                <w:sz w:val="24"/>
                <w:szCs w:val="24"/>
                <w:vertAlign w:val="superscript"/>
                <w:lang w:eastAsia="lv-LV"/>
              </w:rPr>
              <w:t>2</w:t>
            </w:r>
            <w:r w:rsidRPr="00A454F9">
              <w:rPr>
                <w:rFonts w:ascii="Times New Roman" w:eastAsia="Calibri" w:hAnsi="Times New Roman" w:cs="Times New Roman"/>
                <w:sz w:val="24"/>
                <w:szCs w:val="24"/>
                <w:lang w:eastAsia="lv-LV"/>
              </w:rPr>
              <w:t xml:space="preserve"> panta pirmajā daļā tika paredzēts arī administratīvais sods – brīdinājums. Izstrādājot Administratīvās atbildības likumu, tika nolemts, ka brīdinājums arī turpmāk ir atstājams kā pamatsods par maznozīmīgiem administratīvajiem pārkāpumiem, jo minētais soda veids ir vērsts uz personas tiesisko apziņu un jaunu pārkāpumu </w:t>
            </w:r>
            <w:proofErr w:type="spellStart"/>
            <w:r w:rsidRPr="00A454F9">
              <w:rPr>
                <w:rFonts w:ascii="Times New Roman" w:eastAsia="Calibri" w:hAnsi="Times New Roman" w:cs="Times New Roman"/>
                <w:sz w:val="24"/>
                <w:szCs w:val="24"/>
                <w:lang w:eastAsia="lv-LV"/>
              </w:rPr>
              <w:t>prevenciju</w:t>
            </w:r>
            <w:proofErr w:type="spellEnd"/>
            <w:r w:rsidRPr="00A454F9">
              <w:rPr>
                <w:rFonts w:ascii="Times New Roman" w:eastAsia="Calibri" w:hAnsi="Times New Roman" w:cs="Times New Roman"/>
                <w:sz w:val="24"/>
                <w:szCs w:val="24"/>
                <w:lang w:eastAsia="lv-LV"/>
              </w:rPr>
              <w:t xml:space="preserve">, un tas ir piemērojams tādos gadījumos, kad ar administratīvo pārkāpumu nav radīts būtisks kaitējums vai izdarītais pārkāpums ir mazsvarīgs. </w:t>
            </w:r>
            <w:r w:rsidRPr="00A454F9">
              <w:rPr>
                <w:rFonts w:ascii="Times New Roman" w:eastAsia="Times New Roman" w:hAnsi="Times New Roman" w:cs="Times New Roman"/>
                <w:iCs/>
                <w:sz w:val="24"/>
                <w:szCs w:val="24"/>
                <w:lang w:eastAsia="lv-LV"/>
              </w:rPr>
              <w:t>Laika periodā no 2017. gada 1. janvāra līdz 2019. gada 1. augustam (2016. gadā administratīvie sodi nav piemēroti) administratīvais sods – brīdinājums – piemērots vismaz trīs administratīvo pārkāpumu lietās, līdz ar to konkrētais administratīvā soda veids tiek arī faktiski piemērots, izskatot administratīvo pārkāpumu lietas par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pantā paredzētajiem pārkāpumiem. Ievērojot minēto, Biroja ieskatā likumprojektā arī ir jāparedz iespēju piemērot administratīvo sodu – brīdinājumu.</w:t>
            </w:r>
          </w:p>
          <w:p w14:paraId="6E40284D" w14:textId="77777777"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Saskaņā ar LAPK 213. pantu rajonu (pilsētu) tiesu tiesneši līdz šim izskatīja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pirmajā daļā paredzēto administratīvo pārkāpumu lietas.  Saskaņā ar Administratīvās atbildības likuma 115. panta pirmajā daļā noteikto rajona (pilsētas) tiesas no 2020. gada 1. janvāra nepildīs kontrolējošās iestādes funkcijas un nepieņems lēmumus par personu administratīvo sodīšanu, līdz ar to nepieciešams noteikt citu institūciju, kas veiks administratīvā pārkāpuma procesu par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pirmajā daļā paredzētajiem pārkāpumiem. </w:t>
            </w:r>
          </w:p>
          <w:p w14:paraId="2E56F16F" w14:textId="77777777" w:rsidR="00A454F9" w:rsidRPr="00A454F9"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Saskaņā ar Administratīvās atbildības likuma 125. panta otro daļu gadījumā, ja kompetentā iestāde objektīvu apstākļu dēļ nevar uzsākt administratīvā pārkāpuma procesu un veikt neatliekamās procesuālās darbības, nozaru likumos var paredzēt, ka administratīvā pārkāpuma procesu var uzsākt un lietas sagatavošanu izskatīšanai var veikt citas šā likuma 115. pantā minēto iestāžu amatpersonas. Ņemot vērā, ka kompetentā institūcija, kas izskata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xml:space="preserve"> panta pirmajā daļā paredzēto administratīvo pārkāpumu lietas līdz Administratīvās atbildības likuma spēkā stāšanās brīdim būs rajona (pilsētas) tiesa, nepieciešams noteikt, ka galīgo lēmumu </w:t>
            </w:r>
            <w:r w:rsidRPr="00A454F9">
              <w:rPr>
                <w:rFonts w:ascii="Times New Roman" w:eastAsia="Times New Roman" w:hAnsi="Times New Roman" w:cs="Times New Roman"/>
                <w:iCs/>
                <w:sz w:val="24"/>
                <w:szCs w:val="24"/>
                <w:lang w:eastAsia="lv-LV"/>
              </w:rPr>
              <w:lastRenderedPageBreak/>
              <w:t>administratīvā pārkāpuma lietā pieņem un administratīvā pārkāpuma lietu pēc 2019. gada 31. decembra izskata Birojs. Vienlaikus jāņem vērā, ka objektīvu un praktisku apsvērumu dēļ ne vienmēr Birojs būs institūcija, kas uzsāks administratīvā pārkāpuma lietu (teritoriālie aspekti, Biroja un tā amatpersonu atrašanās vieta). Arī līdzšinējā praksē Valsts policija un pašvaldības policija bija kompetentās institūcijas, kas uzsāka un izskatīja administratīvo pārkāpumu lietas par LAPK 204.</w:t>
            </w:r>
            <w:r w:rsidRPr="00A454F9">
              <w:rPr>
                <w:rFonts w:ascii="Times New Roman" w:eastAsia="Times New Roman" w:hAnsi="Times New Roman" w:cs="Times New Roman"/>
                <w:iCs/>
                <w:sz w:val="24"/>
                <w:szCs w:val="24"/>
                <w:vertAlign w:val="superscript"/>
                <w:lang w:eastAsia="lv-LV"/>
              </w:rPr>
              <w:t>2</w:t>
            </w:r>
            <w:r w:rsidRPr="00A454F9">
              <w:rPr>
                <w:rFonts w:ascii="Times New Roman" w:eastAsia="Times New Roman" w:hAnsi="Times New Roman" w:cs="Times New Roman"/>
                <w:iCs/>
                <w:sz w:val="24"/>
                <w:szCs w:val="24"/>
                <w:lang w:eastAsia="lv-LV"/>
              </w:rPr>
              <w:t> panta pirmajā daļā paredzētajiem pārkāpumiem, nosūtot lietas materiālus galīgā lēmuma pieņemšanai – rajona (pilsētas) tiesai.</w:t>
            </w:r>
            <w:r w:rsidRPr="00A454F9">
              <w:rPr>
                <w:rFonts w:ascii="Calibri" w:eastAsia="Calibri" w:hAnsi="Calibri" w:cs="Times New Roman"/>
                <w:lang w:eastAsia="lv-LV"/>
              </w:rPr>
              <w:t xml:space="preserve"> </w:t>
            </w:r>
            <w:r w:rsidRPr="00A454F9">
              <w:rPr>
                <w:rFonts w:ascii="Times New Roman" w:eastAsia="Times New Roman" w:hAnsi="Times New Roman" w:cs="Times New Roman"/>
                <w:iCs/>
                <w:sz w:val="24"/>
                <w:szCs w:val="24"/>
                <w:lang w:eastAsia="lv-LV"/>
              </w:rPr>
              <w:t>Ievērojot minēto, kā arī ņemot vērā līdzšinējo praksi administratīvā pārkāpumu lietu izskatīšanā, uzskatāms, ka var rasties situācijas, kad objektīvu apstākļu dēļ Birojs nevar uzsākt administratīvā pārkāpuma procesu un veikt neatliekamās procesuālās darbības (piemēram, neatļauta aģitācija publiskā vietā, kur Birojs faktiski nevar nokļūt pietiekami īsā laika periodā, lai konstatētu pārkāpumu un nodrošinātu pierādījumu iegūšanu, efektīvi un ātri sasniedzot administratīvā pārkāpuma procesa mērķi) un līdz ar to, ievērojot Administratīvās atbildības likuma 125. panta otro daļu un 31. pantā noteikto procesuālās ekonomijas principu, nepieciešams normatīvajā aktā paredzēt tiesības Valsts policijai un pašvaldības policijai uzsākt administratīvā pārkāpuma procesu.</w:t>
            </w:r>
          </w:p>
          <w:p w14:paraId="5878F2AF"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LAPK 215.</w:t>
            </w:r>
            <w:r w:rsidRPr="00A454F9">
              <w:rPr>
                <w:rFonts w:ascii="Times New Roman" w:eastAsia="Calibri" w:hAnsi="Times New Roman" w:cs="Times New Roman"/>
                <w:sz w:val="24"/>
                <w:szCs w:val="24"/>
                <w:vertAlign w:val="superscript"/>
                <w:lang w:eastAsia="lv-LV"/>
              </w:rPr>
              <w:t>9</w:t>
            </w:r>
            <w:r w:rsidRPr="00A454F9">
              <w:rPr>
                <w:rFonts w:ascii="Times New Roman" w:eastAsia="Calibri" w:hAnsi="Times New Roman" w:cs="Times New Roman"/>
                <w:sz w:val="24"/>
                <w:szCs w:val="24"/>
                <w:lang w:eastAsia="lv-LV"/>
              </w:rPr>
              <w:t xml:space="preserve"> pants paredzēja Nacionālās elektronisko plašsaziņas līdzekļu padomes kompetenci izskatīt LAPK 204.</w:t>
            </w:r>
            <w:r w:rsidRPr="00A454F9">
              <w:rPr>
                <w:rFonts w:ascii="Times New Roman" w:eastAsia="Calibri" w:hAnsi="Times New Roman" w:cs="Times New Roman"/>
                <w:sz w:val="24"/>
                <w:szCs w:val="24"/>
                <w:vertAlign w:val="superscript"/>
                <w:lang w:eastAsia="lv-LV"/>
              </w:rPr>
              <w:t>2</w:t>
            </w:r>
            <w:r w:rsidRPr="00A454F9">
              <w:rPr>
                <w:rFonts w:ascii="Times New Roman" w:eastAsia="Calibri" w:hAnsi="Times New Roman" w:cs="Times New Roman"/>
                <w:sz w:val="24"/>
                <w:szCs w:val="24"/>
                <w:lang w:eastAsia="lv-LV"/>
              </w:rPr>
              <w:t xml:space="preserve"> panta astotajā daļā paredzēto administratīvo pārkāpumu lietas, ja administratīvie pārkāpumi izdarīti elektronisko plašsaziņas līdzekļu jomā. Ņemot vērā, ka Nacionālā elektronisko plašsaziņas līdzekļu padome ir neatkarīga un pilntiesīga autonoma institūcija, kas atbilstoši savai kompetencei pārstāv sabiedrības intereses elektronisko plašsaziņas līdzekļu jomā, kā arī uzrauga, lai elektronisko plašsaziņas līdzekļu darbībā tiktu ievērota Latvijas Republikas Satversme, Elektronisko plašsaziņas līdzekļu likums, kā arī citi normatīvie akti, un ka Nacionālā elektronisko plašsaziņas līdzekļu padome arī ir iekļauta Administratīvās atbildības likuma 115. panta pirmās daļas subjektu lokā, likumprojektā saglabātas Nacionālā elektronisko plašsaziņas līdzekļu padomes amatpersonu tiesības veikt administratīvo pārkāpumu procesu, ja administratīvie pārkāpumi izdarīti elektronisko plašsaziņas līdzekļu jomā.</w:t>
            </w:r>
          </w:p>
          <w:p w14:paraId="330308BB" w14:textId="77777777" w:rsidR="00A454F9" w:rsidRPr="00A454F9" w:rsidRDefault="00A454F9" w:rsidP="00A454F9">
            <w:pPr>
              <w:spacing w:after="0" w:line="240" w:lineRule="auto"/>
              <w:jc w:val="both"/>
              <w:rPr>
                <w:rFonts w:ascii="Times New Roman" w:eastAsia="Calibri" w:hAnsi="Times New Roman" w:cs="Times New Roman"/>
                <w:color w:val="FF0000"/>
                <w:sz w:val="24"/>
                <w:szCs w:val="24"/>
                <w:highlight w:val="yellow"/>
                <w:lang w:eastAsia="lv-LV"/>
              </w:rPr>
            </w:pPr>
            <w:r w:rsidRPr="00A454F9">
              <w:rPr>
                <w:rFonts w:ascii="Times New Roman" w:eastAsia="Calibri" w:hAnsi="Times New Roman" w:cs="Times New Roman"/>
                <w:sz w:val="24"/>
                <w:szCs w:val="24"/>
                <w:lang w:eastAsia="lv-LV"/>
              </w:rPr>
              <w:t>Likumprojektā nav paredzēta LAPK 215.</w:t>
            </w:r>
            <w:r w:rsidRPr="00A454F9">
              <w:rPr>
                <w:rFonts w:ascii="Times New Roman" w:eastAsia="Calibri" w:hAnsi="Times New Roman" w:cs="Times New Roman"/>
                <w:sz w:val="24"/>
                <w:szCs w:val="24"/>
                <w:vertAlign w:val="superscript"/>
                <w:lang w:eastAsia="lv-LV"/>
              </w:rPr>
              <w:t>9</w:t>
            </w:r>
            <w:r w:rsidRPr="00A454F9">
              <w:rPr>
                <w:rFonts w:ascii="Times New Roman" w:eastAsia="Calibri" w:hAnsi="Times New Roman" w:cs="Times New Roman"/>
                <w:sz w:val="24"/>
                <w:szCs w:val="24"/>
                <w:lang w:eastAsia="lv-LV"/>
              </w:rPr>
              <w:t xml:space="preserve"> pantā ietvertā atsauce par lietu izskatīšanas piekritību, proti, ka Nacionālās elektronisko plašsaziņas līdzekļu padome neizskata lietas par pārkāpumiem tajos </w:t>
            </w:r>
            <w:r w:rsidRPr="00A454F9">
              <w:rPr>
                <w:rFonts w:ascii="Times New Roman" w:eastAsia="Calibri" w:hAnsi="Times New Roman" w:cs="Times New Roman"/>
                <w:sz w:val="24"/>
                <w:szCs w:val="24"/>
                <w:lang w:eastAsia="lv-LV"/>
              </w:rPr>
              <w:lastRenderedPageBreak/>
              <w:t>gadījumos, kad kontroli veikušas un protokolu sastādījušas (uzsākušas administratīvā pārkāpuma procesu) citas institūcijas amatpersonas, kas pilnvarotas izskatīt attiecīgā administratīvā pārkāpuma lietas, jo Biroja ieskatā nebūtu pamatoti nošķirt lietu izskatīšanas piekritību, faktiski ņemot vērā tikai to, kura institūcija ir uzsākusi administratīva pārkāpuma procesu. Nacionālās elektronisko plašsaziņas līdzekļu padomes kompetencē ir izskatīt administratīvo pārkāpumu lietas elektronisko plašsaziņas līdzekļu jomā, līdz ar to arī attiecīgā norāde par iestādes kompetenci (bez izņēmuma gadījumiem) ietverama likumprojektā.</w:t>
            </w:r>
          </w:p>
          <w:p w14:paraId="1672A9A8" w14:textId="77777777" w:rsidR="00A454F9" w:rsidRPr="00A454F9" w:rsidRDefault="00A454F9" w:rsidP="00A454F9">
            <w:pPr>
              <w:spacing w:after="0" w:line="240" w:lineRule="auto"/>
              <w:jc w:val="both"/>
              <w:rPr>
                <w:rFonts w:ascii="Times New Roman" w:eastAsia="Calibri" w:hAnsi="Times New Roman" w:cs="Times New Roman"/>
                <w:sz w:val="24"/>
                <w:szCs w:val="24"/>
                <w:lang w:eastAsia="lv-LV"/>
              </w:rPr>
            </w:pPr>
            <w:r w:rsidRPr="00A454F9">
              <w:rPr>
                <w:rFonts w:ascii="Times New Roman" w:eastAsia="Calibri" w:hAnsi="Times New Roman" w:cs="Times New Roman"/>
                <w:sz w:val="24"/>
                <w:szCs w:val="24"/>
                <w:lang w:eastAsia="lv-LV"/>
              </w:rPr>
              <w:t xml:space="preserve">Saskaņā ar informatīvajā ziņojumā "Nozaru administratīvo pārkāpumu kodifikācijas ieviešanas sistēmas īstenošana" (pieņemts zināšanai Ministru kabineta 2018. gada 18. decembra sēdē (protokola Nr. 60 98. §)) norādīto, izstrādājot likumprojektus, nepieciešams arī ievērot administratīvā akta izdošanas prioritātes principu, proti, ja ir nepieciešams panākt, lai persona izpilda noteiktas normatīvajos aktos paredzētas prasības, prioritāte ir administratīvā akta izdošanai ar pienākumu atbilstošā termiņā novērst neatbilstības un izpildīt prasības. Tieslietu ministrija vērsusi arī uzmanību uz nepieciešamību izvērtēt likumā paredzētos gadījumus, kad Birojs par pārkāpumiem izdod personai nelabvēlīgu administratīvo aktu, ar kuru paredzēta finanšu līdzekļu samaksa valsts budžetā vai citas darbības, jo šāda valsts rīcība var būt interpretējama kā sankcijas. </w:t>
            </w:r>
          </w:p>
          <w:p w14:paraId="72555C63" w14:textId="47E33C97" w:rsidR="00C31CE6" w:rsidRPr="009162AC" w:rsidRDefault="00A454F9" w:rsidP="00A454F9">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Calibri" w:hAnsi="Times New Roman" w:cs="Times New Roman"/>
                <w:sz w:val="24"/>
                <w:szCs w:val="24"/>
                <w:lang w:eastAsia="lv-LV"/>
              </w:rPr>
              <w:t>Saskaņā ar normatīvajos aktos (attiecībā aģitāciju skat. Priekšvēlēšanu aģitācijas likuma 29., 30., 31., 34. pantu, likuma "Par tautas nobalsošanu, likuma ierosināšanu un Eiropas pilsoņu iniciatīvu" 38.pantu, Politisko organizāciju (partiju) finansēšanas likuma 10. panta 2.</w:t>
            </w:r>
            <w:r w:rsidRPr="00A454F9">
              <w:rPr>
                <w:rFonts w:ascii="Times New Roman" w:eastAsia="Calibri" w:hAnsi="Times New Roman" w:cs="Times New Roman"/>
                <w:sz w:val="24"/>
                <w:szCs w:val="24"/>
                <w:vertAlign w:val="superscript"/>
                <w:lang w:eastAsia="lv-LV"/>
              </w:rPr>
              <w:t>1 </w:t>
            </w:r>
            <w:r w:rsidRPr="00A454F9">
              <w:rPr>
                <w:rFonts w:ascii="Times New Roman" w:eastAsia="Calibri" w:hAnsi="Times New Roman" w:cs="Times New Roman"/>
                <w:sz w:val="24"/>
                <w:szCs w:val="24"/>
                <w:lang w:eastAsia="lv-LV"/>
              </w:rPr>
              <w:t xml:space="preserve">daļu) noteikto Biroja priekšnieks var pieņemt lēmumu arī administratīvā procesa ietvaros, taču jāņem vērā, ka minētajam administratīvajam procesam un administratīvā pārkāpuma procesam konkrēto normatīvo aktu ietvaros ir atšķirīgi mērķi, kā arī šie lēmumi nepārkāpj dubultās sodīšanas aizlieguma principu </w:t>
            </w:r>
            <w:r w:rsidRPr="00A454F9">
              <w:rPr>
                <w:rFonts w:ascii="Times New Roman" w:eastAsia="Calibri" w:hAnsi="Times New Roman" w:cs="Times New Roman"/>
                <w:i/>
                <w:sz w:val="24"/>
                <w:szCs w:val="24"/>
                <w:lang w:eastAsia="lv-LV"/>
              </w:rPr>
              <w:t xml:space="preserve">(ne </w:t>
            </w:r>
            <w:proofErr w:type="spellStart"/>
            <w:r w:rsidRPr="00A454F9">
              <w:rPr>
                <w:rFonts w:ascii="Times New Roman" w:eastAsia="Calibri" w:hAnsi="Times New Roman" w:cs="Times New Roman"/>
                <w:i/>
                <w:sz w:val="24"/>
                <w:szCs w:val="24"/>
                <w:lang w:eastAsia="lv-LV"/>
              </w:rPr>
              <w:t>bis</w:t>
            </w:r>
            <w:proofErr w:type="spellEnd"/>
            <w:r w:rsidRPr="00A454F9">
              <w:rPr>
                <w:rFonts w:ascii="Times New Roman" w:eastAsia="Calibri" w:hAnsi="Times New Roman" w:cs="Times New Roman"/>
                <w:i/>
                <w:sz w:val="24"/>
                <w:szCs w:val="24"/>
                <w:lang w:eastAsia="lv-LV"/>
              </w:rPr>
              <w:t xml:space="preserve"> </w:t>
            </w:r>
            <w:proofErr w:type="spellStart"/>
            <w:r w:rsidRPr="00A454F9">
              <w:rPr>
                <w:rFonts w:ascii="Times New Roman" w:eastAsia="Calibri" w:hAnsi="Times New Roman" w:cs="Times New Roman"/>
                <w:i/>
                <w:sz w:val="24"/>
                <w:szCs w:val="24"/>
                <w:lang w:eastAsia="lv-LV"/>
              </w:rPr>
              <w:t>in</w:t>
            </w:r>
            <w:proofErr w:type="spellEnd"/>
            <w:r w:rsidRPr="00A454F9">
              <w:rPr>
                <w:rFonts w:ascii="Times New Roman" w:eastAsia="Calibri" w:hAnsi="Times New Roman" w:cs="Times New Roman"/>
                <w:i/>
                <w:sz w:val="24"/>
                <w:szCs w:val="24"/>
                <w:lang w:eastAsia="lv-LV"/>
              </w:rPr>
              <w:t xml:space="preserve"> </w:t>
            </w:r>
            <w:proofErr w:type="spellStart"/>
            <w:r w:rsidRPr="00A454F9">
              <w:rPr>
                <w:rFonts w:ascii="Times New Roman" w:eastAsia="Calibri" w:hAnsi="Times New Roman" w:cs="Times New Roman"/>
                <w:i/>
                <w:sz w:val="24"/>
                <w:szCs w:val="24"/>
                <w:lang w:eastAsia="lv-LV"/>
              </w:rPr>
              <w:t>idem</w:t>
            </w:r>
            <w:proofErr w:type="spellEnd"/>
            <w:r w:rsidRPr="00A454F9">
              <w:rPr>
                <w:rFonts w:ascii="Times New Roman" w:eastAsia="Calibri" w:hAnsi="Times New Roman" w:cs="Times New Roman"/>
                <w:i/>
                <w:sz w:val="24"/>
                <w:szCs w:val="24"/>
                <w:lang w:eastAsia="lv-LV"/>
              </w:rPr>
              <w:t>)</w:t>
            </w:r>
            <w:r w:rsidRPr="00A454F9">
              <w:rPr>
                <w:rFonts w:ascii="Times New Roman" w:eastAsia="Calibri" w:hAnsi="Times New Roman" w:cs="Times New Roman"/>
                <w:sz w:val="24"/>
                <w:szCs w:val="24"/>
                <w:lang w:eastAsia="lv-LV"/>
              </w:rPr>
              <w:t xml:space="preserve">. Šādu lēmumu tiesisko dabu un sankciju mērķi vērtējis arī Augstākās tiesas Senāta Administratīvo lietu departaments, norādot, ka </w:t>
            </w:r>
            <w:r w:rsidRPr="00A454F9">
              <w:rPr>
                <w:rFonts w:ascii="Calibri" w:eastAsia="Calibri" w:hAnsi="Calibri" w:cs="Times New Roman"/>
              </w:rPr>
              <w:t xml:space="preserve"> </w:t>
            </w:r>
            <w:r w:rsidRPr="00A454F9">
              <w:rPr>
                <w:rFonts w:ascii="Times New Roman" w:eastAsia="Calibri" w:hAnsi="Times New Roman" w:cs="Times New Roman"/>
                <w:sz w:val="24"/>
                <w:szCs w:val="24"/>
                <w:lang w:eastAsia="lv-LV"/>
              </w:rPr>
              <w:t>Politisko organizāciju (partiju) finansēšanas likuma 10. panta regulējums ietver ne tikai soda noteikšanu, bet paredz arī atbildību par šā likuma prasību neievērošanu, kas kopumā vērsta uz prettiesiskā stāvokļa pilnvērtīgu novēršanu. Minētā likuma 10. panta otrajā daļā un 2.</w:t>
            </w:r>
            <w:r w:rsidRPr="00A454F9">
              <w:rPr>
                <w:rFonts w:ascii="Times New Roman" w:eastAsia="Calibri" w:hAnsi="Times New Roman" w:cs="Times New Roman"/>
                <w:sz w:val="24"/>
                <w:szCs w:val="24"/>
                <w:vertAlign w:val="superscript"/>
                <w:lang w:eastAsia="lv-LV"/>
              </w:rPr>
              <w:t>1 </w:t>
            </w:r>
            <w:r w:rsidRPr="00A454F9">
              <w:rPr>
                <w:rFonts w:ascii="Times New Roman" w:eastAsia="Calibri" w:hAnsi="Times New Roman" w:cs="Times New Roman"/>
                <w:sz w:val="24"/>
                <w:szCs w:val="24"/>
                <w:lang w:eastAsia="lv-LV"/>
              </w:rPr>
              <w:t xml:space="preserve">daļā noteiktais atbildības līdzeklis ir vērsts tieši uz kaitējuma atlīdzinājumu, nedublējot panta pirmajā daļā un LAPK paredzēto </w:t>
            </w:r>
            <w:r w:rsidRPr="00A454F9">
              <w:rPr>
                <w:rFonts w:ascii="Times New Roman" w:eastAsia="Calibri" w:hAnsi="Times New Roman" w:cs="Times New Roman"/>
                <w:sz w:val="24"/>
                <w:szCs w:val="24"/>
                <w:lang w:eastAsia="lv-LV"/>
              </w:rPr>
              <w:lastRenderedPageBreak/>
              <w:t xml:space="preserve">administratīvo atbildību. Pienākumam novērst pārkāpuma sekas (ieskaitīt valsts budžetā prettiesiski saņemtos un izlietotos finanšu līdzekļus) nepiemīt soda raksturs, kas atbilstoši dubultās sodīšanas aizlieguma principam liegtu tā piemērošanu līdztekus naudas sodam administratīvā pārkāpuma lietā. Minētais atbilst arī Eiropas Cilvēktiesību tiesas vērtējumam par pienākuma atdot valstij vēlēšanu kampaņas tēriņu limita pārsnieguma daļu tiesisko dabu, kura norādījusi, ka tas nodrošina vēlēšanu pareizu norisi un kandidātu vienlīdzību, bet tam nav kriminālsoda rakstura un to nevar uzskatīt par soda naudu </w:t>
            </w:r>
            <w:r w:rsidRPr="00A454F9">
              <w:rPr>
                <w:rFonts w:ascii="Times New Roman" w:eastAsia="Calibri" w:hAnsi="Times New Roman" w:cs="Times New Roman"/>
                <w:i/>
                <w:sz w:val="24"/>
                <w:szCs w:val="24"/>
                <w:lang w:eastAsia="lv-LV"/>
              </w:rPr>
              <w:t xml:space="preserve">(sk. Augstākās tiesas Senāta Administratīvo lietu departamenta 2011. gada 22. septembra spriedumu lietā Nr. SKA-311/2011 un Eiropas Cilvēktiesību tiesas 1997. gada 21. oktobra sprieduma lietā </w:t>
            </w:r>
            <w:proofErr w:type="spellStart"/>
            <w:r w:rsidRPr="00A454F9">
              <w:rPr>
                <w:rFonts w:ascii="Times New Roman" w:eastAsia="Calibri" w:hAnsi="Times New Roman" w:cs="Times New Roman"/>
                <w:i/>
                <w:sz w:val="24"/>
                <w:szCs w:val="24"/>
                <w:lang w:eastAsia="lv-LV"/>
              </w:rPr>
              <w:t>Pierre-Bloch</w:t>
            </w:r>
            <w:proofErr w:type="spellEnd"/>
            <w:r w:rsidRPr="00A454F9">
              <w:rPr>
                <w:rFonts w:ascii="Times New Roman" w:eastAsia="Calibri" w:hAnsi="Times New Roman" w:cs="Times New Roman"/>
                <w:i/>
                <w:sz w:val="24"/>
                <w:szCs w:val="24"/>
                <w:lang w:eastAsia="lv-LV"/>
              </w:rPr>
              <w:t xml:space="preserve"> pret Franciju 58.–59.punktu)</w:t>
            </w:r>
            <w:r w:rsidRPr="00A454F9">
              <w:rPr>
                <w:rFonts w:ascii="Times New Roman" w:eastAsia="Calibri" w:hAnsi="Times New Roman" w:cs="Times New Roman"/>
                <w:sz w:val="24"/>
                <w:szCs w:val="24"/>
                <w:lang w:eastAsia="lv-LV"/>
              </w:rPr>
              <w:t>.</w:t>
            </w:r>
          </w:p>
        </w:tc>
      </w:tr>
      <w:tr w:rsidR="0049292E" w:rsidRPr="009162AC" w14:paraId="72555C68" w14:textId="77777777" w:rsidTr="00F06072">
        <w:trPr>
          <w:trHeight w:val="979"/>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65"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2555C66"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2555C67" w14:textId="0002CA4B" w:rsidR="00E5323B" w:rsidRPr="009162AC" w:rsidRDefault="00A454F9" w:rsidP="00C5187A">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Birojs</w:t>
            </w:r>
          </w:p>
        </w:tc>
      </w:tr>
      <w:tr w:rsidR="0049292E" w:rsidRPr="009162AC" w14:paraId="72555C6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69"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C6A"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C6C" w14:textId="4E9359DE" w:rsidR="00E5323B" w:rsidRPr="009162AC" w:rsidRDefault="001132B8" w:rsidP="007A3921">
            <w:pPr>
              <w:spacing w:after="0" w:line="240" w:lineRule="auto"/>
              <w:jc w:val="both"/>
              <w:rPr>
                <w:rFonts w:ascii="Times New Roman" w:eastAsia="Times New Roman" w:hAnsi="Times New Roman" w:cs="Times New Roman"/>
                <w:iCs/>
                <w:sz w:val="24"/>
                <w:szCs w:val="24"/>
                <w:lang w:eastAsia="lv-LV"/>
              </w:rPr>
            </w:pPr>
            <w:r w:rsidRPr="001132B8">
              <w:rPr>
                <w:rFonts w:ascii="Times New Roman" w:eastAsia="Times New Roman" w:hAnsi="Times New Roman" w:cs="Times New Roman"/>
                <w:iCs/>
                <w:sz w:val="24"/>
                <w:szCs w:val="24"/>
                <w:lang w:eastAsia="lv-LV"/>
              </w:rPr>
              <w:t>Likumprojekts virzāms izskatīšanai kopā ar likumprojektu "</w:t>
            </w:r>
            <w:r w:rsidR="00A454F9">
              <w:rPr>
                <w:rFonts w:ascii="Times New Roman" w:eastAsia="Times New Roman" w:hAnsi="Times New Roman" w:cs="Times New Roman"/>
                <w:iCs/>
                <w:sz w:val="24"/>
                <w:szCs w:val="24"/>
                <w:lang w:eastAsia="lv-LV"/>
              </w:rPr>
              <w:t>Priekšvēlēšanu aģitācijas likumā</w:t>
            </w:r>
            <w:r w:rsidRPr="00953C94">
              <w:rPr>
                <w:rFonts w:ascii="Times New Roman" w:eastAsia="Times New Roman" w:hAnsi="Times New Roman" w:cs="Times New Roman"/>
                <w:iCs/>
                <w:sz w:val="24"/>
                <w:szCs w:val="24"/>
                <w:lang w:eastAsia="lv-LV"/>
              </w:rPr>
              <w:t>".</w:t>
            </w:r>
            <w:r w:rsidR="00A454F9">
              <w:rPr>
                <w:rFonts w:ascii="Times New Roman" w:eastAsia="Times New Roman" w:hAnsi="Times New Roman" w:cs="Times New Roman"/>
                <w:iCs/>
                <w:sz w:val="24"/>
                <w:szCs w:val="24"/>
                <w:lang w:eastAsia="lv-LV"/>
              </w:rPr>
              <w:t xml:space="preserve"> </w:t>
            </w:r>
            <w:r w:rsidRPr="00953C94">
              <w:rPr>
                <w:rFonts w:ascii="Times New Roman" w:eastAsia="Times New Roman" w:hAnsi="Times New Roman" w:cs="Times New Roman"/>
                <w:iCs/>
                <w:sz w:val="24"/>
                <w:szCs w:val="24"/>
                <w:lang w:eastAsia="lv-LV"/>
              </w:rPr>
              <w:t>Likumprojektu</w:t>
            </w:r>
            <w:r w:rsidR="00A454F9">
              <w:rPr>
                <w:rFonts w:ascii="Times New Roman" w:eastAsia="Times New Roman" w:hAnsi="Times New Roman" w:cs="Times New Roman"/>
                <w:iCs/>
                <w:sz w:val="24"/>
                <w:szCs w:val="24"/>
                <w:lang w:eastAsia="lv-LV"/>
              </w:rPr>
              <w:t>s</w:t>
            </w:r>
            <w:r w:rsidRPr="00953C94">
              <w:rPr>
                <w:rFonts w:ascii="Times New Roman" w:eastAsia="Times New Roman" w:hAnsi="Times New Roman" w:cs="Times New Roman"/>
                <w:iCs/>
                <w:sz w:val="24"/>
                <w:szCs w:val="24"/>
                <w:lang w:eastAsia="lv-LV"/>
              </w:rPr>
              <w:t xml:space="preserve"> plānots izskatīt Tieslietu ministrijas </w:t>
            </w:r>
            <w:r w:rsidR="007A3921">
              <w:rPr>
                <w:rFonts w:ascii="Times New Roman" w:eastAsia="Times New Roman" w:hAnsi="Times New Roman" w:cs="Times New Roman"/>
                <w:iCs/>
                <w:sz w:val="24"/>
                <w:szCs w:val="24"/>
                <w:lang w:eastAsia="lv-LV"/>
              </w:rPr>
              <w:t>LAPK</w:t>
            </w:r>
            <w:r w:rsidRPr="00953C94">
              <w:rPr>
                <w:rFonts w:ascii="Times New Roman" w:eastAsia="Times New Roman" w:hAnsi="Times New Roman" w:cs="Times New Roman"/>
                <w:iCs/>
                <w:sz w:val="24"/>
                <w:szCs w:val="24"/>
                <w:lang w:eastAsia="lv-LV"/>
              </w:rPr>
              <w:t xml:space="preserve"> pastāvīgajā darba grupā</w:t>
            </w:r>
            <w:r w:rsidR="00D9066F">
              <w:rPr>
                <w:rFonts w:ascii="Times New Roman" w:eastAsia="Times New Roman" w:hAnsi="Times New Roman" w:cs="Times New Roman"/>
                <w:iCs/>
                <w:sz w:val="24"/>
                <w:szCs w:val="24"/>
                <w:lang w:eastAsia="lv-LV"/>
              </w:rPr>
              <w:t>.</w:t>
            </w:r>
          </w:p>
        </w:tc>
      </w:tr>
    </w:tbl>
    <w:p w14:paraId="72555C6E"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C7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C6F" w14:textId="77777777" w:rsidR="00655F2C" w:rsidRPr="009162AC" w:rsidRDefault="00E5323B" w:rsidP="0049292E">
            <w:pPr>
              <w:spacing w:after="0" w:line="240" w:lineRule="auto"/>
              <w:jc w:val="center"/>
              <w:rPr>
                <w:rFonts w:ascii="Times New Roman" w:eastAsia="Times New Roman" w:hAnsi="Times New Roman" w:cs="Times New Roman"/>
                <w:b/>
                <w:bCs/>
                <w:iCs/>
                <w:sz w:val="24"/>
                <w:szCs w:val="24"/>
                <w:lang w:eastAsia="lv-LV"/>
              </w:rPr>
            </w:pPr>
            <w:r w:rsidRPr="0079081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9292E" w:rsidRPr="009162AC" w14:paraId="72555C7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1"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C72"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Sabiedrības </w:t>
            </w:r>
            <w:proofErr w:type="spellStart"/>
            <w:r w:rsidRPr="009162AC">
              <w:rPr>
                <w:rFonts w:ascii="Times New Roman" w:eastAsia="Times New Roman" w:hAnsi="Times New Roman" w:cs="Times New Roman"/>
                <w:iCs/>
                <w:sz w:val="24"/>
                <w:szCs w:val="24"/>
                <w:lang w:eastAsia="lv-LV"/>
              </w:rPr>
              <w:t>mērķgrupas</w:t>
            </w:r>
            <w:proofErr w:type="spellEnd"/>
            <w:r w:rsidRPr="009162AC">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2555C73" w14:textId="05EB7CC8" w:rsidR="00E5323B" w:rsidRPr="009162AC" w:rsidRDefault="007A3921" w:rsidP="0074426F">
            <w:pPr>
              <w:spacing w:after="0" w:line="240" w:lineRule="auto"/>
              <w:jc w:val="both"/>
              <w:rPr>
                <w:rFonts w:ascii="Times New Roman" w:eastAsia="Times New Roman" w:hAnsi="Times New Roman" w:cs="Times New Roman"/>
                <w:iCs/>
                <w:sz w:val="24"/>
                <w:szCs w:val="24"/>
                <w:lang w:eastAsia="lv-LV"/>
              </w:rPr>
            </w:pPr>
            <w:r w:rsidRPr="007A3921">
              <w:rPr>
                <w:rFonts w:ascii="Times New Roman" w:eastAsia="Times New Roman" w:hAnsi="Times New Roman" w:cs="Times New Roman"/>
                <w:iCs/>
                <w:sz w:val="24"/>
                <w:szCs w:val="24"/>
                <w:lang w:eastAsia="lv-LV"/>
              </w:rPr>
              <w:t xml:space="preserve">Politiskās partijas un politisko partiju apvienības, ikviena fiziskā vai juridiskā persona, vienlaikus likumprojekts ietver administratīvās atbildības noteikšanu par spēkā esošā LAPK </w:t>
            </w:r>
            <w:r w:rsidRPr="007A3921">
              <w:rPr>
                <w:rFonts w:ascii="Times New Roman" w:eastAsia="Calibri" w:hAnsi="Times New Roman" w:cs="Times New Roman"/>
                <w:sz w:val="24"/>
                <w:szCs w:val="24"/>
                <w:lang w:eastAsia="lv-LV"/>
              </w:rPr>
              <w:t>204.</w:t>
            </w:r>
            <w:r w:rsidRPr="007A3921">
              <w:rPr>
                <w:rFonts w:ascii="Times New Roman" w:eastAsia="Calibri" w:hAnsi="Times New Roman" w:cs="Times New Roman"/>
                <w:sz w:val="24"/>
                <w:szCs w:val="24"/>
                <w:vertAlign w:val="superscript"/>
                <w:lang w:eastAsia="lv-LV"/>
              </w:rPr>
              <w:t>2</w:t>
            </w:r>
            <w:r w:rsidRPr="007A3921">
              <w:rPr>
                <w:rFonts w:ascii="Times New Roman" w:eastAsia="Calibri" w:hAnsi="Times New Roman" w:cs="Times New Roman"/>
                <w:sz w:val="24"/>
                <w:szCs w:val="24"/>
                <w:lang w:eastAsia="lv-LV"/>
              </w:rPr>
              <w:t xml:space="preserve"> pantā paredzētajiem pārkāpumiem</w:t>
            </w:r>
            <w:r w:rsidR="00D9066F">
              <w:rPr>
                <w:rFonts w:ascii="Times New Roman" w:eastAsia="Calibri" w:hAnsi="Times New Roman" w:cs="Times New Roman"/>
                <w:sz w:val="24"/>
                <w:szCs w:val="24"/>
                <w:lang w:eastAsia="lv-LV"/>
              </w:rPr>
              <w:t>.</w:t>
            </w:r>
          </w:p>
        </w:tc>
      </w:tr>
      <w:tr w:rsidR="0049292E" w:rsidRPr="009162AC" w14:paraId="72555C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5"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C76"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2555C77" w14:textId="7CC94339" w:rsidR="00E5323B" w:rsidRPr="009162AC" w:rsidRDefault="00A454F9" w:rsidP="00953C94">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Likumprojekts izstrādāts, lai īstenotu nozaru administratīvo pārkāpumu kodifikācijas ieviešanas sistēmas plānu. Administratīvais slogs nemainās, tiek mainītas kompetentās institūcijas lēmuma pieņemšanā (sakarā ar koncepcijas maiņu jautājumā par tiesas – kā kompetentās institūcijas – lomu lēmumu pieņemšanā), taču administratīvā pārkāpuma process netiek mainīts un tiks veikts atbilstoši Administratīvās atbildības likumā noteiktajam.</w:t>
            </w:r>
          </w:p>
        </w:tc>
      </w:tr>
      <w:tr w:rsidR="0049292E" w:rsidRPr="009162AC" w14:paraId="72555C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9"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C7A"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2555C7B" w14:textId="77777777" w:rsidR="00E5323B" w:rsidRPr="009162AC" w:rsidRDefault="00300D34"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Projekts šo jomu neskar</w:t>
            </w:r>
          </w:p>
        </w:tc>
      </w:tr>
      <w:tr w:rsidR="0049292E" w:rsidRPr="009162AC" w14:paraId="72555C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D"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C7E"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2555C7F" w14:textId="77777777" w:rsidR="00E5323B" w:rsidRPr="009162AC" w:rsidRDefault="00300D34"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Projekts šo jomu neskar</w:t>
            </w:r>
          </w:p>
        </w:tc>
      </w:tr>
      <w:tr w:rsidR="0049292E" w:rsidRPr="009162AC" w14:paraId="72555C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81"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2555C82"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C83" w14:textId="0E14101B" w:rsidR="00E5323B" w:rsidRPr="009162AC" w:rsidRDefault="00A454F9" w:rsidP="00966CC1">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 xml:space="preserve">Likumprojektā paredzētie naudas sodi tiks ieskaitīti </w:t>
            </w:r>
            <w:r w:rsidRPr="00A454F9">
              <w:rPr>
                <w:rFonts w:ascii="Times New Roman" w:eastAsia="Times New Roman" w:hAnsi="Times New Roman" w:cs="Times New Roman"/>
                <w:iCs/>
                <w:sz w:val="24"/>
                <w:szCs w:val="24"/>
                <w:lang w:eastAsia="lv-LV"/>
              </w:rPr>
              <w:lastRenderedPageBreak/>
              <w:t>valsts pamatbudžeta ieņēmumos</w:t>
            </w:r>
          </w:p>
        </w:tc>
      </w:tr>
    </w:tbl>
    <w:p w14:paraId="72555C85"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4426F" w14:paraId="72356B42" w14:textId="77777777" w:rsidTr="00744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781E76" w14:textId="77777777" w:rsidR="0074426F" w:rsidRPr="0074426F" w:rsidRDefault="0074426F">
            <w:pPr>
              <w:spacing w:after="0" w:line="240" w:lineRule="auto"/>
              <w:jc w:val="center"/>
              <w:rPr>
                <w:rFonts w:ascii="Times New Roman" w:eastAsia="Times New Roman" w:hAnsi="Times New Roman" w:cs="Times New Roman"/>
                <w:b/>
                <w:bCs/>
                <w:iCs/>
                <w:sz w:val="24"/>
                <w:szCs w:val="24"/>
                <w:lang w:eastAsia="lv-LV"/>
              </w:rPr>
            </w:pPr>
            <w:r w:rsidRPr="0074426F">
              <w:rPr>
                <w:rFonts w:ascii="Times New Roman" w:eastAsia="Times New Roman" w:hAnsi="Times New Roman" w:cs="Times New Roman"/>
                <w:b/>
                <w:bCs/>
                <w:iCs/>
                <w:sz w:val="24"/>
                <w:szCs w:val="24"/>
                <w:lang w:eastAsia="lv-LV"/>
              </w:rPr>
              <w:t>III. Tiesību akta projekta ietekme uz valsts budžetu un pašvaldību budžetiem</w:t>
            </w:r>
          </w:p>
        </w:tc>
      </w:tr>
      <w:tr w:rsidR="0074426F" w14:paraId="45E81304" w14:textId="77777777" w:rsidTr="00744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60AD61" w14:textId="77777777" w:rsidR="0074426F" w:rsidRPr="00A454F9" w:rsidRDefault="0074426F">
            <w:pPr>
              <w:spacing w:after="0" w:line="240" w:lineRule="auto"/>
              <w:jc w:val="center"/>
              <w:rPr>
                <w:rFonts w:ascii="Times New Roman" w:eastAsia="Times New Roman" w:hAnsi="Times New Roman" w:cs="Times New Roman"/>
                <w:bCs/>
                <w:iCs/>
                <w:sz w:val="24"/>
                <w:szCs w:val="24"/>
                <w:lang w:eastAsia="lv-LV"/>
              </w:rPr>
            </w:pPr>
            <w:r w:rsidRPr="00A454F9">
              <w:rPr>
                <w:rFonts w:ascii="Times New Roman" w:eastAsia="Times New Roman" w:hAnsi="Times New Roman" w:cs="Times New Roman"/>
                <w:bCs/>
                <w:iCs/>
                <w:sz w:val="24"/>
                <w:szCs w:val="24"/>
                <w:lang w:eastAsia="lv-LV"/>
              </w:rPr>
              <w:t>Projekts šo jomu neskar</w:t>
            </w:r>
          </w:p>
        </w:tc>
      </w:tr>
    </w:tbl>
    <w:p w14:paraId="72555D5E" w14:textId="55B7D07E" w:rsidR="00E5323B" w:rsidRPr="009162AC" w:rsidRDefault="0074426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77B26" w:rsidRPr="00777B26" w14:paraId="7CB84DB2" w14:textId="77777777" w:rsidTr="00777B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C391AC" w14:textId="77777777" w:rsidR="00777B26" w:rsidRPr="00777B26" w:rsidRDefault="00777B26" w:rsidP="00777B26">
            <w:pPr>
              <w:spacing w:after="0" w:line="240" w:lineRule="auto"/>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IV. Tiesību akta projekta ietekme uz spēkā esošo tiesību normu sistēmu</w:t>
            </w:r>
          </w:p>
        </w:tc>
      </w:tr>
      <w:tr w:rsidR="00777B26" w:rsidRPr="00777B26" w14:paraId="4AEC9B92" w14:textId="77777777" w:rsidTr="00777B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99A2D" w14:textId="77777777" w:rsidR="00777B26" w:rsidRPr="00A454F9" w:rsidRDefault="00777B26" w:rsidP="00777B26">
            <w:pPr>
              <w:spacing w:after="0" w:line="240" w:lineRule="auto"/>
              <w:jc w:val="center"/>
              <w:rPr>
                <w:rFonts w:ascii="Times New Roman" w:eastAsia="Times New Roman" w:hAnsi="Times New Roman" w:cs="Times New Roman"/>
                <w:bCs/>
                <w:iCs/>
                <w:sz w:val="24"/>
                <w:szCs w:val="24"/>
                <w:lang w:eastAsia="lv-LV"/>
              </w:rPr>
            </w:pPr>
            <w:r w:rsidRPr="00A454F9">
              <w:rPr>
                <w:rFonts w:ascii="Times New Roman" w:eastAsia="Times New Roman" w:hAnsi="Times New Roman" w:cs="Times New Roman"/>
                <w:bCs/>
                <w:iCs/>
                <w:sz w:val="24"/>
                <w:szCs w:val="24"/>
                <w:lang w:eastAsia="lv-LV"/>
              </w:rPr>
              <w:t>Projekts šo jomu neskar</w:t>
            </w:r>
          </w:p>
        </w:tc>
      </w:tr>
    </w:tbl>
    <w:p w14:paraId="72555D6D" w14:textId="3B7A1DA8" w:rsidR="00E5323B" w:rsidRPr="009162AC"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77B26" w:rsidRPr="0094127B" w14:paraId="2EAAB695" w14:textId="77777777" w:rsidTr="00941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6B47B6" w14:textId="77777777" w:rsidR="0094127B" w:rsidRPr="0094127B" w:rsidRDefault="0094127B" w:rsidP="0094127B">
            <w:pPr>
              <w:spacing w:after="0" w:line="240" w:lineRule="auto"/>
              <w:jc w:val="center"/>
              <w:rPr>
                <w:rFonts w:ascii="Times New Roman" w:eastAsia="Times New Roman" w:hAnsi="Times New Roman" w:cs="Times New Roman"/>
                <w:b/>
                <w:bCs/>
                <w:iCs/>
                <w:sz w:val="24"/>
                <w:szCs w:val="24"/>
                <w:lang w:eastAsia="lv-LV"/>
              </w:rPr>
            </w:pPr>
            <w:r w:rsidRPr="0094127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77B26" w:rsidRPr="0094127B" w14:paraId="2505D22B" w14:textId="77777777" w:rsidTr="00941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B4513" w14:textId="77777777" w:rsidR="0094127B" w:rsidRPr="00A454F9" w:rsidRDefault="0094127B" w:rsidP="0094127B">
            <w:pPr>
              <w:spacing w:after="0" w:line="240" w:lineRule="auto"/>
              <w:jc w:val="center"/>
              <w:rPr>
                <w:rFonts w:ascii="Times New Roman" w:eastAsia="Times New Roman" w:hAnsi="Times New Roman" w:cs="Times New Roman"/>
                <w:bCs/>
                <w:iCs/>
                <w:sz w:val="24"/>
                <w:szCs w:val="24"/>
                <w:lang w:eastAsia="lv-LV"/>
              </w:rPr>
            </w:pPr>
            <w:r w:rsidRPr="00A454F9">
              <w:rPr>
                <w:rFonts w:ascii="Times New Roman" w:eastAsia="Times New Roman" w:hAnsi="Times New Roman" w:cs="Times New Roman"/>
                <w:bCs/>
                <w:iCs/>
                <w:sz w:val="24"/>
                <w:szCs w:val="24"/>
                <w:lang w:eastAsia="lv-LV"/>
              </w:rPr>
              <w:t>Projekts šo jomu neskar</w:t>
            </w:r>
          </w:p>
        </w:tc>
      </w:tr>
    </w:tbl>
    <w:p w14:paraId="72555D8C" w14:textId="17662FA1"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D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D8D" w14:textId="77777777" w:rsidR="00655F2C" w:rsidRPr="00F321F8" w:rsidRDefault="00E5323B" w:rsidP="0049292E">
            <w:pPr>
              <w:spacing w:after="0" w:line="240" w:lineRule="auto"/>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VI. Sabiedrības līdzdalība un komunikācijas aktivitātes</w:t>
            </w:r>
          </w:p>
        </w:tc>
      </w:tr>
      <w:tr w:rsidR="0049292E" w:rsidRPr="009162AC" w14:paraId="72555D93" w14:textId="77777777" w:rsidTr="003D7B65">
        <w:trPr>
          <w:trHeight w:val="1055"/>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8F"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D90"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2555D92" w14:textId="2151E762" w:rsidR="00E5323B" w:rsidRPr="00F321F8" w:rsidRDefault="00DB6E5D" w:rsidP="003D7B6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w:t>
            </w:r>
            <w:r w:rsidR="00A454F9" w:rsidRPr="00A454F9">
              <w:rPr>
                <w:rFonts w:ascii="Times New Roman" w:eastAsia="Times New Roman" w:hAnsi="Times New Roman" w:cs="Times New Roman"/>
                <w:iCs/>
                <w:sz w:val="24"/>
                <w:szCs w:val="24"/>
                <w:lang w:eastAsia="lv-LV"/>
              </w:rPr>
              <w:t xml:space="preserve">iroja tīmekļvietnē </w:t>
            </w:r>
            <w:proofErr w:type="spellStart"/>
            <w:r w:rsidR="00A454F9" w:rsidRPr="00A454F9">
              <w:rPr>
                <w:rFonts w:ascii="Times New Roman" w:eastAsia="Times New Roman" w:hAnsi="Times New Roman" w:cs="Times New Roman"/>
                <w:iCs/>
                <w:sz w:val="24"/>
                <w:szCs w:val="24"/>
                <w:lang w:eastAsia="lv-LV"/>
              </w:rPr>
              <w:t>www.knab.gov.lv</w:t>
            </w:r>
            <w:proofErr w:type="spellEnd"/>
            <w:r w:rsidR="00A454F9" w:rsidRPr="00A454F9">
              <w:rPr>
                <w:rFonts w:ascii="Times New Roman" w:eastAsia="Times New Roman" w:hAnsi="Times New Roman" w:cs="Times New Roman"/>
                <w:iCs/>
                <w:sz w:val="24"/>
                <w:szCs w:val="24"/>
                <w:lang w:eastAsia="lv-LV"/>
              </w:rPr>
              <w:t xml:space="preserve"> publicēts paziņojums par līdzdalības iespējām. Arī pēc izsludināšanas Valsts sekretāru sanāksmē projekts būs pieejams Ministru kabineta tīmekļvietnē </w:t>
            </w:r>
            <w:proofErr w:type="spellStart"/>
            <w:r w:rsidR="00A454F9" w:rsidRPr="00A454F9">
              <w:rPr>
                <w:rFonts w:ascii="Times New Roman" w:eastAsia="Times New Roman" w:hAnsi="Times New Roman" w:cs="Times New Roman"/>
                <w:iCs/>
                <w:sz w:val="24"/>
                <w:szCs w:val="24"/>
                <w:lang w:eastAsia="lv-LV"/>
              </w:rPr>
              <w:t>www.mk.gov.lv</w:t>
            </w:r>
            <w:proofErr w:type="spellEnd"/>
          </w:p>
        </w:tc>
      </w:tr>
      <w:tr w:rsidR="0049292E" w:rsidRPr="009162AC" w14:paraId="72555D9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4"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D95"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2555D96" w14:textId="093C0FC4" w:rsidR="00E5323B" w:rsidRPr="00953C94" w:rsidRDefault="00966CC1" w:rsidP="00275204">
            <w:pPr>
              <w:spacing w:after="0" w:line="240" w:lineRule="auto"/>
              <w:rPr>
                <w:rFonts w:ascii="Times New Roman" w:eastAsia="Times New Roman" w:hAnsi="Times New Roman" w:cs="Times New Roman"/>
                <w:iCs/>
                <w:sz w:val="24"/>
                <w:szCs w:val="24"/>
                <w:lang w:eastAsia="lv-LV"/>
              </w:rPr>
            </w:pPr>
            <w:r w:rsidRPr="00953C94">
              <w:rPr>
                <w:rFonts w:ascii="Times New Roman" w:eastAsia="Times New Roman" w:hAnsi="Times New Roman" w:cs="Times New Roman"/>
                <w:iCs/>
                <w:sz w:val="24"/>
                <w:szCs w:val="24"/>
                <w:lang w:eastAsia="lv-LV"/>
              </w:rPr>
              <w:t>Tiks papildināts</w:t>
            </w:r>
          </w:p>
        </w:tc>
      </w:tr>
      <w:tr w:rsidR="0049292E" w:rsidRPr="009162AC" w14:paraId="72555D9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8"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D99"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2555D9A" w14:textId="38C1D573" w:rsidR="00E5323B" w:rsidRPr="00953C94" w:rsidRDefault="00966CC1" w:rsidP="00275204">
            <w:pPr>
              <w:spacing w:after="0" w:line="240" w:lineRule="auto"/>
              <w:rPr>
                <w:rFonts w:ascii="Times New Roman" w:eastAsia="Times New Roman" w:hAnsi="Times New Roman" w:cs="Times New Roman"/>
                <w:iCs/>
                <w:sz w:val="24"/>
                <w:szCs w:val="24"/>
                <w:lang w:eastAsia="lv-LV"/>
              </w:rPr>
            </w:pPr>
            <w:r w:rsidRPr="00953C94">
              <w:rPr>
                <w:rFonts w:ascii="Times New Roman" w:eastAsia="Times New Roman" w:hAnsi="Times New Roman" w:cs="Times New Roman"/>
                <w:iCs/>
                <w:sz w:val="24"/>
                <w:szCs w:val="24"/>
                <w:lang w:eastAsia="lv-LV"/>
              </w:rPr>
              <w:t>Tiks papildināts</w:t>
            </w:r>
          </w:p>
        </w:tc>
      </w:tr>
      <w:tr w:rsidR="0049292E" w:rsidRPr="009162AC" w14:paraId="72555D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C"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D9D" w14:textId="77777777" w:rsidR="00E5323B" w:rsidRPr="009162AC" w:rsidRDefault="00E5323B" w:rsidP="00C270BD">
            <w:pPr>
              <w:spacing w:after="0" w:line="240" w:lineRule="auto"/>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D9E" w14:textId="3344C451" w:rsidR="00E5323B" w:rsidRPr="009162AC" w:rsidRDefault="00777B26" w:rsidP="00C270B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2555DA0"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DA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DA1" w14:textId="77777777" w:rsidR="00655F2C" w:rsidRPr="009162AC" w:rsidRDefault="00E5323B" w:rsidP="0049292E">
            <w:pPr>
              <w:spacing w:after="0" w:line="240" w:lineRule="auto"/>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9292E" w:rsidRPr="009162AC" w14:paraId="72555DA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3"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DA4"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2555DA5" w14:textId="723DF956" w:rsidR="00E5323B" w:rsidRPr="00C32E05" w:rsidRDefault="00DB6E5D" w:rsidP="00953C9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w:t>
            </w:r>
            <w:r w:rsidR="00A454F9" w:rsidRPr="00A454F9">
              <w:rPr>
                <w:rFonts w:ascii="Times New Roman" w:eastAsia="Times New Roman" w:hAnsi="Times New Roman" w:cs="Times New Roman"/>
                <w:iCs/>
                <w:sz w:val="24"/>
                <w:szCs w:val="24"/>
                <w:lang w:eastAsia="lv-LV"/>
              </w:rPr>
              <w:t>irojs un Nacionālā elektronisko plašsaziņas līdzekļu padome. Likumprojektā paredzētas tiesības Valsts policijai un pašvaldības policijai uzsākt administratīvā pārkāpuma procesu</w:t>
            </w:r>
            <w:r w:rsidR="00D9066F">
              <w:rPr>
                <w:rFonts w:ascii="Times New Roman" w:eastAsia="Times New Roman" w:hAnsi="Times New Roman" w:cs="Times New Roman"/>
                <w:iCs/>
                <w:sz w:val="24"/>
                <w:szCs w:val="24"/>
                <w:lang w:eastAsia="lv-LV"/>
              </w:rPr>
              <w:t>.</w:t>
            </w:r>
          </w:p>
        </w:tc>
      </w:tr>
      <w:tr w:rsidR="0049292E" w:rsidRPr="009162AC" w14:paraId="72555D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7"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DA8"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Projekta izpildes ietekme uz pārvaldes funkcijām un institucionālo struktūru.</w:t>
            </w:r>
            <w:r w:rsidRPr="009162AC">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2555DA9" w14:textId="47B068E8" w:rsidR="00777B26" w:rsidRPr="00C32E05" w:rsidRDefault="00A454F9" w:rsidP="00C62BFF">
            <w:pPr>
              <w:spacing w:after="0" w:line="240" w:lineRule="auto"/>
              <w:jc w:val="both"/>
              <w:rPr>
                <w:rFonts w:ascii="Times New Roman" w:eastAsia="Times New Roman" w:hAnsi="Times New Roman" w:cs="Times New Roman"/>
                <w:iCs/>
                <w:sz w:val="24"/>
                <w:szCs w:val="24"/>
                <w:lang w:eastAsia="lv-LV"/>
              </w:rPr>
            </w:pPr>
            <w:r w:rsidRPr="00A454F9">
              <w:rPr>
                <w:rFonts w:ascii="Times New Roman" w:eastAsia="Times New Roman" w:hAnsi="Times New Roman" w:cs="Times New Roman"/>
                <w:iCs/>
                <w:sz w:val="24"/>
                <w:szCs w:val="24"/>
                <w:lang w:eastAsia="lv-LV"/>
              </w:rPr>
              <w:t>Nav ietekmes uz pārvaldes funkcijām un institucionālo struktūru. Nav paredzēta jaunu institūciju izveide, esošu institūciju likvidācija vai reorganizācija. Likumprojekta izpilde tiks nodrošināma esošo cilvēkresursu ietvaros.</w:t>
            </w:r>
          </w:p>
        </w:tc>
      </w:tr>
      <w:tr w:rsidR="0049292E" w:rsidRPr="009162AC" w14:paraId="72555D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B" w14:textId="77777777" w:rsidR="00655F2C"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DAC" w14:textId="77777777" w:rsidR="00E5323B" w:rsidRPr="009162AC" w:rsidRDefault="00E5323B"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DAD" w14:textId="77777777" w:rsidR="00E5323B" w:rsidRPr="009162AC" w:rsidRDefault="00681FF2" w:rsidP="00E5323B">
            <w:pPr>
              <w:spacing w:after="0" w:line="240" w:lineRule="auto"/>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Nav</w:t>
            </w:r>
          </w:p>
        </w:tc>
      </w:tr>
    </w:tbl>
    <w:p w14:paraId="742498F8" w14:textId="77777777" w:rsidR="001768B9" w:rsidRPr="009162AC" w:rsidRDefault="001768B9" w:rsidP="00894C55">
      <w:pPr>
        <w:spacing w:after="0" w:line="240" w:lineRule="auto"/>
        <w:rPr>
          <w:rFonts w:ascii="Times New Roman" w:hAnsi="Times New Roman" w:cs="Times New Roman"/>
          <w:sz w:val="28"/>
          <w:szCs w:val="28"/>
        </w:rPr>
      </w:pPr>
    </w:p>
    <w:p w14:paraId="72555DB0" w14:textId="77777777" w:rsidR="00E5323B" w:rsidRPr="009162AC" w:rsidRDefault="00E5323B" w:rsidP="00894C55">
      <w:pPr>
        <w:spacing w:after="0" w:line="240" w:lineRule="auto"/>
        <w:rPr>
          <w:rFonts w:ascii="Times New Roman" w:hAnsi="Times New Roman" w:cs="Times New Roman"/>
          <w:sz w:val="28"/>
          <w:szCs w:val="28"/>
        </w:rPr>
      </w:pPr>
    </w:p>
    <w:p w14:paraId="72555DB1" w14:textId="77777777" w:rsidR="00D81D28" w:rsidRPr="00D81D28" w:rsidRDefault="00D81D28" w:rsidP="00DA6748">
      <w:pPr>
        <w:tabs>
          <w:tab w:val="left" w:pos="6663"/>
          <w:tab w:val="right" w:pos="8820"/>
        </w:tabs>
        <w:spacing w:after="0" w:line="240" w:lineRule="auto"/>
        <w:ind w:firstLine="709"/>
        <w:jc w:val="both"/>
        <w:rPr>
          <w:rFonts w:ascii="Times New Roman" w:eastAsia="Times New Roman" w:hAnsi="Times New Roman" w:cs="Times New Roman"/>
          <w:sz w:val="28"/>
          <w:szCs w:val="28"/>
          <w:lang w:eastAsia="lv-LV"/>
        </w:rPr>
      </w:pPr>
      <w:r w:rsidRPr="00D81D28">
        <w:rPr>
          <w:rFonts w:ascii="Times New Roman" w:eastAsia="Times New Roman" w:hAnsi="Times New Roman" w:cs="Times New Roman"/>
          <w:sz w:val="28"/>
          <w:szCs w:val="28"/>
          <w:lang w:eastAsia="lv-LV"/>
        </w:rPr>
        <w:t>Ministru preziden</w:t>
      </w:r>
      <w:r w:rsidR="005867F3">
        <w:rPr>
          <w:rFonts w:ascii="Times New Roman" w:eastAsia="Times New Roman" w:hAnsi="Times New Roman" w:cs="Times New Roman"/>
          <w:sz w:val="28"/>
          <w:szCs w:val="28"/>
          <w:lang w:eastAsia="lv-LV"/>
        </w:rPr>
        <w:t>ts</w:t>
      </w:r>
      <w:r w:rsidR="005867F3">
        <w:rPr>
          <w:rFonts w:ascii="Times New Roman" w:eastAsia="Times New Roman" w:hAnsi="Times New Roman" w:cs="Times New Roman"/>
          <w:sz w:val="28"/>
          <w:szCs w:val="28"/>
          <w:lang w:eastAsia="lv-LV"/>
        </w:rPr>
        <w:tab/>
      </w:r>
      <w:r w:rsidRPr="00D81D28">
        <w:rPr>
          <w:rFonts w:ascii="Times New Roman" w:eastAsia="Times New Roman" w:hAnsi="Times New Roman" w:cs="Times New Roman"/>
          <w:sz w:val="28"/>
          <w:szCs w:val="28"/>
          <w:lang w:eastAsia="lv-LV"/>
        </w:rPr>
        <w:t xml:space="preserve">A. K. Kariņš </w:t>
      </w:r>
    </w:p>
    <w:p w14:paraId="72555DB2" w14:textId="4FE08A68" w:rsidR="00D81D28" w:rsidRDefault="00D81D28" w:rsidP="00D81D28">
      <w:pPr>
        <w:tabs>
          <w:tab w:val="left" w:pos="6237"/>
        </w:tabs>
        <w:spacing w:after="0" w:line="240" w:lineRule="auto"/>
        <w:rPr>
          <w:rFonts w:ascii="Times New Roman" w:eastAsia="Calibri" w:hAnsi="Times New Roman" w:cs="Times New Roman"/>
          <w:noProof/>
          <w:sz w:val="28"/>
          <w:szCs w:val="28"/>
        </w:rPr>
      </w:pPr>
    </w:p>
    <w:p w14:paraId="742A8ED8" w14:textId="77777777" w:rsidR="001768B9" w:rsidRPr="00D81D28" w:rsidRDefault="001768B9" w:rsidP="00D81D28">
      <w:pPr>
        <w:tabs>
          <w:tab w:val="left" w:pos="6237"/>
        </w:tabs>
        <w:spacing w:after="0" w:line="240" w:lineRule="auto"/>
        <w:rPr>
          <w:rFonts w:ascii="Times New Roman" w:eastAsia="Calibri" w:hAnsi="Times New Roman" w:cs="Times New Roman"/>
          <w:noProof/>
          <w:sz w:val="28"/>
          <w:szCs w:val="28"/>
        </w:rPr>
      </w:pPr>
    </w:p>
    <w:p w14:paraId="72555DB3" w14:textId="77777777" w:rsidR="00D81D28" w:rsidRPr="00D81D28" w:rsidRDefault="00D81D28" w:rsidP="00D81D28">
      <w:pPr>
        <w:tabs>
          <w:tab w:val="left" w:pos="6237"/>
        </w:tabs>
        <w:spacing w:after="0" w:line="240" w:lineRule="auto"/>
        <w:rPr>
          <w:rFonts w:ascii="Times New Roman" w:eastAsia="Calibri" w:hAnsi="Times New Roman" w:cs="Times New Roman"/>
          <w:noProof/>
          <w:sz w:val="28"/>
          <w:szCs w:val="28"/>
        </w:rPr>
      </w:pPr>
    </w:p>
    <w:p w14:paraId="2B906475" w14:textId="77777777" w:rsidR="00416EAA" w:rsidRPr="00416EAA" w:rsidRDefault="00416EAA" w:rsidP="00416EAA">
      <w:pPr>
        <w:shd w:val="clear" w:color="auto" w:fill="FFFFFF"/>
        <w:tabs>
          <w:tab w:val="left" w:pos="7740"/>
        </w:tabs>
        <w:spacing w:after="0" w:line="240" w:lineRule="auto"/>
        <w:ind w:firstLine="720"/>
        <w:rPr>
          <w:rFonts w:ascii="Times New Roman" w:eastAsia="Times New Roman" w:hAnsi="Times New Roman" w:cs="Times New Roman"/>
          <w:sz w:val="28"/>
          <w:szCs w:val="28"/>
          <w:lang w:eastAsia="zh-TW"/>
        </w:rPr>
      </w:pPr>
      <w:r w:rsidRPr="00416EAA">
        <w:rPr>
          <w:rFonts w:ascii="Times New Roman" w:eastAsia="Times New Roman" w:hAnsi="Times New Roman" w:cs="Times New Roman"/>
          <w:sz w:val="28"/>
          <w:szCs w:val="28"/>
          <w:lang w:eastAsia="zh-TW"/>
        </w:rPr>
        <w:lastRenderedPageBreak/>
        <w:t>Vīzē: Korupcijas novēršanas un</w:t>
      </w:r>
    </w:p>
    <w:p w14:paraId="5D6AB8BD" w14:textId="7D18EC82" w:rsidR="00416EAA" w:rsidRPr="00416EAA" w:rsidRDefault="00416EAA" w:rsidP="00DA6748">
      <w:pPr>
        <w:shd w:val="clear" w:color="auto" w:fill="FFFFFF"/>
        <w:tabs>
          <w:tab w:val="left" w:pos="6521"/>
        </w:tabs>
        <w:spacing w:after="0" w:line="240" w:lineRule="auto"/>
        <w:ind w:firstLine="720"/>
        <w:rPr>
          <w:rFonts w:ascii="Times New Roman" w:eastAsia="Times New Roman" w:hAnsi="Times New Roman" w:cs="Times New Roman"/>
          <w:sz w:val="28"/>
          <w:szCs w:val="28"/>
          <w:lang w:eastAsia="zh-TW"/>
        </w:rPr>
      </w:pPr>
      <w:r w:rsidRPr="00416EAA">
        <w:rPr>
          <w:rFonts w:ascii="Times New Roman" w:eastAsia="Times New Roman" w:hAnsi="Times New Roman" w:cs="Times New Roman"/>
          <w:sz w:val="28"/>
          <w:szCs w:val="28"/>
          <w:lang w:eastAsia="zh-TW"/>
        </w:rPr>
        <w:t>apkarošanas biroja priekšnieks</w:t>
      </w:r>
      <w:r w:rsidR="00DA6748">
        <w:rPr>
          <w:rFonts w:ascii="Times New Roman" w:eastAsia="Times New Roman" w:hAnsi="Times New Roman" w:cs="Times New Roman"/>
          <w:sz w:val="28"/>
          <w:szCs w:val="28"/>
          <w:lang w:eastAsia="zh-TW"/>
        </w:rPr>
        <w:tab/>
        <w:t xml:space="preserve">  </w:t>
      </w:r>
      <w:r w:rsidRPr="00416EAA">
        <w:rPr>
          <w:rFonts w:ascii="Times New Roman" w:eastAsia="Times New Roman" w:hAnsi="Times New Roman" w:cs="Times New Roman"/>
          <w:sz w:val="28"/>
          <w:szCs w:val="28"/>
          <w:lang w:eastAsia="zh-TW"/>
        </w:rPr>
        <w:t>J</w:t>
      </w:r>
      <w:r w:rsidR="00DA6748">
        <w:rPr>
          <w:rFonts w:ascii="Times New Roman" w:eastAsia="Times New Roman" w:hAnsi="Times New Roman" w:cs="Times New Roman"/>
          <w:sz w:val="28"/>
          <w:szCs w:val="28"/>
          <w:lang w:eastAsia="zh-TW"/>
        </w:rPr>
        <w:t>.</w:t>
      </w:r>
      <w:r w:rsidRPr="00416EAA">
        <w:rPr>
          <w:rFonts w:ascii="Times New Roman" w:eastAsia="Times New Roman" w:hAnsi="Times New Roman" w:cs="Times New Roman"/>
          <w:sz w:val="28"/>
          <w:szCs w:val="28"/>
          <w:lang w:eastAsia="zh-TW"/>
        </w:rPr>
        <w:t xml:space="preserve"> Straume</w:t>
      </w:r>
    </w:p>
    <w:p w14:paraId="72555DB6" w14:textId="77777777" w:rsidR="00D81D28" w:rsidRDefault="00D81D28" w:rsidP="00D81D28">
      <w:pPr>
        <w:tabs>
          <w:tab w:val="left" w:pos="6237"/>
        </w:tabs>
        <w:spacing w:after="0" w:line="240" w:lineRule="auto"/>
        <w:rPr>
          <w:rFonts w:ascii="Times New Roman" w:eastAsia="Calibri" w:hAnsi="Times New Roman" w:cs="Times New Roman"/>
          <w:noProof/>
          <w:color w:val="FF0000"/>
          <w:sz w:val="28"/>
          <w:szCs w:val="28"/>
        </w:rPr>
      </w:pPr>
    </w:p>
    <w:p w14:paraId="291DE7A3" w14:textId="77777777" w:rsidR="00966CC1" w:rsidRPr="00D81D28" w:rsidRDefault="00966CC1" w:rsidP="00D81D28">
      <w:pPr>
        <w:tabs>
          <w:tab w:val="left" w:pos="6237"/>
        </w:tabs>
        <w:spacing w:after="0" w:line="240" w:lineRule="auto"/>
        <w:rPr>
          <w:rFonts w:ascii="Times New Roman" w:eastAsia="Calibri" w:hAnsi="Times New Roman" w:cs="Times New Roman"/>
          <w:noProof/>
          <w:sz w:val="28"/>
          <w:szCs w:val="28"/>
        </w:rPr>
      </w:pPr>
    </w:p>
    <w:p w14:paraId="72555DB7" w14:textId="032B9DDD" w:rsidR="00D81D28" w:rsidRDefault="00D81D28" w:rsidP="00D81D28">
      <w:pPr>
        <w:spacing w:after="0" w:line="240" w:lineRule="auto"/>
        <w:ind w:firstLine="720"/>
        <w:rPr>
          <w:rFonts w:ascii="Times New Roman" w:eastAsia="Calibri" w:hAnsi="Times New Roman" w:cs="Times New Roman"/>
          <w:noProof/>
          <w:sz w:val="28"/>
          <w:szCs w:val="28"/>
        </w:rPr>
      </w:pPr>
    </w:p>
    <w:p w14:paraId="3B53DE22" w14:textId="77777777" w:rsidR="001768B9" w:rsidRPr="00D81D28" w:rsidRDefault="001768B9" w:rsidP="00D81D28">
      <w:pPr>
        <w:spacing w:after="0" w:line="240" w:lineRule="auto"/>
        <w:ind w:firstLine="720"/>
        <w:rPr>
          <w:rFonts w:ascii="Times New Roman" w:eastAsia="Calibri" w:hAnsi="Times New Roman" w:cs="Times New Roman"/>
          <w:noProof/>
          <w:sz w:val="28"/>
          <w:szCs w:val="28"/>
        </w:rPr>
      </w:pPr>
    </w:p>
    <w:p w14:paraId="72555DB8" w14:textId="106601D4" w:rsidR="00D81D28" w:rsidRPr="007A3921" w:rsidRDefault="007A3921" w:rsidP="00D81D28">
      <w:pPr>
        <w:tabs>
          <w:tab w:val="left" w:pos="6237"/>
        </w:tabs>
        <w:spacing w:after="0" w:line="240" w:lineRule="auto"/>
        <w:rPr>
          <w:rFonts w:ascii="Times New Roman" w:eastAsia="Calibri" w:hAnsi="Times New Roman" w:cs="Times New Roman"/>
          <w:sz w:val="20"/>
          <w:szCs w:val="20"/>
        </w:rPr>
      </w:pPr>
      <w:r w:rsidRPr="007A3921">
        <w:rPr>
          <w:rFonts w:ascii="Times New Roman" w:eastAsia="Calibri" w:hAnsi="Times New Roman" w:cs="Times New Roman"/>
          <w:sz w:val="20"/>
          <w:szCs w:val="20"/>
        </w:rPr>
        <w:t>39</w:t>
      </w:r>
      <w:r w:rsidR="00252701">
        <w:rPr>
          <w:rFonts w:ascii="Times New Roman" w:eastAsia="Calibri" w:hAnsi="Times New Roman" w:cs="Times New Roman"/>
          <w:sz w:val="20"/>
          <w:szCs w:val="20"/>
        </w:rPr>
        <w:t>64</w:t>
      </w:r>
    </w:p>
    <w:p w14:paraId="69729219" w14:textId="77777777" w:rsidR="00572FCE" w:rsidRPr="007A3921" w:rsidRDefault="00572FCE" w:rsidP="00572FCE">
      <w:pPr>
        <w:tabs>
          <w:tab w:val="left" w:pos="6237"/>
        </w:tabs>
        <w:spacing w:after="0" w:line="240" w:lineRule="auto"/>
        <w:rPr>
          <w:rFonts w:ascii="Times New Roman" w:eastAsia="Calibri" w:hAnsi="Times New Roman" w:cs="Times New Roman"/>
          <w:sz w:val="20"/>
          <w:szCs w:val="20"/>
        </w:rPr>
      </w:pPr>
      <w:proofErr w:type="spellStart"/>
      <w:r w:rsidRPr="007A3921">
        <w:rPr>
          <w:rFonts w:ascii="Times New Roman" w:eastAsia="Calibri" w:hAnsi="Times New Roman" w:cs="Times New Roman"/>
          <w:sz w:val="20"/>
          <w:szCs w:val="20"/>
        </w:rPr>
        <w:t>Burbecka</w:t>
      </w:r>
      <w:proofErr w:type="spellEnd"/>
      <w:r w:rsidRPr="007A3921">
        <w:rPr>
          <w:rFonts w:ascii="Times New Roman" w:eastAsia="Calibri" w:hAnsi="Times New Roman" w:cs="Times New Roman"/>
          <w:sz w:val="20"/>
          <w:szCs w:val="20"/>
        </w:rPr>
        <w:t xml:space="preserve"> 67797267</w:t>
      </w:r>
    </w:p>
    <w:p w14:paraId="72555DBA" w14:textId="6B5BCAC8" w:rsidR="00D81D28" w:rsidRPr="007A3921" w:rsidRDefault="00572FCE" w:rsidP="00572FCE">
      <w:pPr>
        <w:tabs>
          <w:tab w:val="left" w:pos="6237"/>
        </w:tabs>
        <w:spacing w:after="0" w:line="240" w:lineRule="auto"/>
        <w:rPr>
          <w:rFonts w:ascii="Times New Roman" w:eastAsia="Calibri" w:hAnsi="Times New Roman" w:cs="Times New Roman"/>
          <w:sz w:val="20"/>
          <w:szCs w:val="20"/>
        </w:rPr>
      </w:pPr>
      <w:r w:rsidRPr="007A3921">
        <w:rPr>
          <w:rFonts w:ascii="Times New Roman" w:eastAsia="Calibri" w:hAnsi="Times New Roman" w:cs="Times New Roman"/>
          <w:sz w:val="20"/>
          <w:szCs w:val="20"/>
        </w:rPr>
        <w:t>Evija.Burbecka@knab.gov.lv</w:t>
      </w:r>
      <w:bookmarkStart w:id="0" w:name="_GoBack"/>
      <w:bookmarkEnd w:id="0"/>
    </w:p>
    <w:sectPr w:rsidR="00D81D28" w:rsidRPr="007A3921" w:rsidSect="001768B9">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26BF3" w14:textId="77777777" w:rsidR="00582CEA" w:rsidRDefault="00582CEA" w:rsidP="00894C55">
      <w:pPr>
        <w:spacing w:after="0" w:line="240" w:lineRule="auto"/>
      </w:pPr>
      <w:r>
        <w:separator/>
      </w:r>
    </w:p>
  </w:endnote>
  <w:endnote w:type="continuationSeparator" w:id="0">
    <w:p w14:paraId="7879D39C" w14:textId="77777777" w:rsidR="00582CEA" w:rsidRDefault="00582CE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5DC0" w14:textId="311C5F90" w:rsidR="00D44B68" w:rsidRPr="007A3921" w:rsidRDefault="007A3921" w:rsidP="007A3921">
    <w:pPr>
      <w:pStyle w:val="Footer"/>
      <w:jc w:val="both"/>
      <w:rPr>
        <w:rFonts w:ascii="Times New Roman" w:hAnsi="Times New Roman" w:cs="Times New Roman"/>
        <w:sz w:val="20"/>
        <w:szCs w:val="20"/>
      </w:rPr>
    </w:pPr>
    <w:r>
      <w:rPr>
        <w:rFonts w:ascii="Times New Roman" w:hAnsi="Times New Roman" w:cs="Times New Roman"/>
        <w:sz w:val="20"/>
        <w:szCs w:val="20"/>
      </w:rPr>
      <w:t>KNAB</w:t>
    </w:r>
    <w:r w:rsidRPr="00681FF2">
      <w:rPr>
        <w:rFonts w:ascii="Times New Roman" w:hAnsi="Times New Roman" w:cs="Times New Roman"/>
        <w:sz w:val="20"/>
        <w:szCs w:val="20"/>
      </w:rPr>
      <w:t>anot_</w:t>
    </w:r>
    <w:r w:rsidR="009177BB">
      <w:rPr>
        <w:rFonts w:ascii="Times New Roman" w:hAnsi="Times New Roman" w:cs="Times New Roman"/>
        <w:sz w:val="20"/>
        <w:szCs w:val="20"/>
      </w:rPr>
      <w:t>2310</w:t>
    </w:r>
    <w:r w:rsidRPr="00681FF2">
      <w:rPr>
        <w:rFonts w:ascii="Times New Roman" w:hAnsi="Times New Roman" w:cs="Times New Roman"/>
        <w:sz w:val="20"/>
        <w:szCs w:val="20"/>
      </w:rPr>
      <w:t>19_</w:t>
    </w:r>
    <w:r>
      <w:rPr>
        <w:rFonts w:ascii="Times New Roman" w:hAnsi="Times New Roman" w:cs="Times New Roman"/>
        <w:sz w:val="20"/>
        <w:szCs w:val="20"/>
      </w:rPr>
      <w:t xml:space="preserve">PTN; </w:t>
    </w:r>
    <w:r w:rsidRPr="007A3921">
      <w:rPr>
        <w:rFonts w:ascii="Times New Roman" w:hAnsi="Times New Roman" w:cs="Times New Roman"/>
        <w:sz w:val="20"/>
        <w:szCs w:val="20"/>
      </w:rPr>
      <w:t>Likumprojekta "Grozījumi likumā "Par tautas nobalsošanu, likumu ierosināšanu un Eiropas pilsoņu iniciatīvu"" 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5DC1" w14:textId="0075090C" w:rsidR="00D44B68" w:rsidRPr="0096297A" w:rsidRDefault="00A70B96" w:rsidP="0096297A">
    <w:pPr>
      <w:pStyle w:val="Footer"/>
      <w:jc w:val="both"/>
      <w:rPr>
        <w:rFonts w:ascii="Times New Roman" w:hAnsi="Times New Roman" w:cs="Times New Roman"/>
        <w:sz w:val="20"/>
        <w:szCs w:val="20"/>
      </w:rPr>
    </w:pPr>
    <w:r>
      <w:rPr>
        <w:rFonts w:ascii="Times New Roman" w:hAnsi="Times New Roman" w:cs="Times New Roman"/>
        <w:sz w:val="20"/>
        <w:szCs w:val="20"/>
      </w:rPr>
      <w:t>KNAB</w:t>
    </w:r>
    <w:r w:rsidR="00D44B68" w:rsidRPr="00681FF2">
      <w:rPr>
        <w:rFonts w:ascii="Times New Roman" w:hAnsi="Times New Roman" w:cs="Times New Roman"/>
        <w:sz w:val="20"/>
        <w:szCs w:val="20"/>
      </w:rPr>
      <w:t>anot_</w:t>
    </w:r>
    <w:r w:rsidR="009177BB">
      <w:rPr>
        <w:rFonts w:ascii="Times New Roman" w:hAnsi="Times New Roman" w:cs="Times New Roman"/>
        <w:sz w:val="20"/>
        <w:szCs w:val="20"/>
      </w:rPr>
      <w:t>2310</w:t>
    </w:r>
    <w:r w:rsidR="00D44B68" w:rsidRPr="00681FF2">
      <w:rPr>
        <w:rFonts w:ascii="Times New Roman" w:hAnsi="Times New Roman" w:cs="Times New Roman"/>
        <w:sz w:val="20"/>
        <w:szCs w:val="20"/>
      </w:rPr>
      <w:t>19_</w:t>
    </w:r>
    <w:r w:rsidR="003B31C7">
      <w:rPr>
        <w:rFonts w:ascii="Times New Roman" w:hAnsi="Times New Roman" w:cs="Times New Roman"/>
        <w:sz w:val="20"/>
        <w:szCs w:val="20"/>
      </w:rPr>
      <w:t>PTN</w:t>
    </w:r>
    <w:r w:rsidR="007A3921">
      <w:rPr>
        <w:rFonts w:ascii="Times New Roman" w:hAnsi="Times New Roman" w:cs="Times New Roman"/>
        <w:sz w:val="20"/>
        <w:szCs w:val="20"/>
      </w:rPr>
      <w:t xml:space="preserve">; </w:t>
    </w:r>
    <w:r w:rsidR="007A3921" w:rsidRPr="007A3921">
      <w:rPr>
        <w:rFonts w:ascii="Times New Roman" w:hAnsi="Times New Roman" w:cs="Times New Roman"/>
        <w:sz w:val="20"/>
        <w:szCs w:val="20"/>
      </w:rPr>
      <w:t>Likumprojekta "Grozījumi likumā "Par tautas nobalsošanu, likumu ierosināšanu un Eiropas pilsoņu iniciatīvu""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521D5" w14:textId="77777777" w:rsidR="00582CEA" w:rsidRDefault="00582CEA" w:rsidP="00894C55">
      <w:pPr>
        <w:spacing w:after="0" w:line="240" w:lineRule="auto"/>
      </w:pPr>
      <w:r>
        <w:separator/>
      </w:r>
    </w:p>
  </w:footnote>
  <w:footnote w:type="continuationSeparator" w:id="0">
    <w:p w14:paraId="73723099" w14:textId="77777777" w:rsidR="00582CEA" w:rsidRDefault="00582CEA"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2555DBF" w14:textId="5C1768B2" w:rsidR="00D44B68" w:rsidRPr="00C25B49" w:rsidRDefault="00D44B6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52701">
          <w:rPr>
            <w:rFonts w:ascii="Times New Roman" w:hAnsi="Times New Roman" w:cs="Times New Roman"/>
            <w:noProof/>
            <w:sz w:val="24"/>
            <w:szCs w:val="20"/>
          </w:rPr>
          <w:t>13</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B44"/>
    <w:rsid w:val="00002CDC"/>
    <w:rsid w:val="00026D7F"/>
    <w:rsid w:val="00031C9F"/>
    <w:rsid w:val="00035091"/>
    <w:rsid w:val="00044C81"/>
    <w:rsid w:val="00060010"/>
    <w:rsid w:val="000637E0"/>
    <w:rsid w:val="00077DD7"/>
    <w:rsid w:val="0008212F"/>
    <w:rsid w:val="000850D1"/>
    <w:rsid w:val="00085F46"/>
    <w:rsid w:val="0009388D"/>
    <w:rsid w:val="0009458B"/>
    <w:rsid w:val="000A0071"/>
    <w:rsid w:val="000A0EE9"/>
    <w:rsid w:val="000A65C6"/>
    <w:rsid w:val="000B14D5"/>
    <w:rsid w:val="000D2E66"/>
    <w:rsid w:val="000D459C"/>
    <w:rsid w:val="000D5352"/>
    <w:rsid w:val="000D5374"/>
    <w:rsid w:val="000E094E"/>
    <w:rsid w:val="000E2655"/>
    <w:rsid w:val="0011108C"/>
    <w:rsid w:val="00112CD6"/>
    <w:rsid w:val="001132B8"/>
    <w:rsid w:val="00114311"/>
    <w:rsid w:val="00142F12"/>
    <w:rsid w:val="0014427D"/>
    <w:rsid w:val="0014442C"/>
    <w:rsid w:val="001561FB"/>
    <w:rsid w:val="00157FD5"/>
    <w:rsid w:val="0016102E"/>
    <w:rsid w:val="001768B9"/>
    <w:rsid w:val="00185426"/>
    <w:rsid w:val="00186D06"/>
    <w:rsid w:val="00186F34"/>
    <w:rsid w:val="00187BCF"/>
    <w:rsid w:val="001A0D3F"/>
    <w:rsid w:val="001A2555"/>
    <w:rsid w:val="001A3C4B"/>
    <w:rsid w:val="001C25BA"/>
    <w:rsid w:val="001D3219"/>
    <w:rsid w:val="001E0775"/>
    <w:rsid w:val="001E3281"/>
    <w:rsid w:val="001E3F38"/>
    <w:rsid w:val="001E570E"/>
    <w:rsid w:val="001F31D2"/>
    <w:rsid w:val="001F48F6"/>
    <w:rsid w:val="001F5046"/>
    <w:rsid w:val="00200A64"/>
    <w:rsid w:val="002018F2"/>
    <w:rsid w:val="002034F4"/>
    <w:rsid w:val="00205C2F"/>
    <w:rsid w:val="002101E6"/>
    <w:rsid w:val="00211223"/>
    <w:rsid w:val="002218A4"/>
    <w:rsid w:val="00221BFF"/>
    <w:rsid w:val="00221D3F"/>
    <w:rsid w:val="002303AB"/>
    <w:rsid w:val="00231468"/>
    <w:rsid w:val="00233BF6"/>
    <w:rsid w:val="00236040"/>
    <w:rsid w:val="00243426"/>
    <w:rsid w:val="00252701"/>
    <w:rsid w:val="00264C1C"/>
    <w:rsid w:val="0026568A"/>
    <w:rsid w:val="00275204"/>
    <w:rsid w:val="00280CD8"/>
    <w:rsid w:val="00283A53"/>
    <w:rsid w:val="00294BE6"/>
    <w:rsid w:val="002A067B"/>
    <w:rsid w:val="002B7621"/>
    <w:rsid w:val="002B7889"/>
    <w:rsid w:val="002B7A02"/>
    <w:rsid w:val="002C13E6"/>
    <w:rsid w:val="002C179B"/>
    <w:rsid w:val="002C3AA8"/>
    <w:rsid w:val="002C5F4B"/>
    <w:rsid w:val="002C7E56"/>
    <w:rsid w:val="002D533A"/>
    <w:rsid w:val="002E1C05"/>
    <w:rsid w:val="00300D34"/>
    <w:rsid w:val="003024F4"/>
    <w:rsid w:val="00306CCE"/>
    <w:rsid w:val="00320FD1"/>
    <w:rsid w:val="003375A5"/>
    <w:rsid w:val="0034103F"/>
    <w:rsid w:val="00355C23"/>
    <w:rsid w:val="00356C62"/>
    <w:rsid w:val="0035733C"/>
    <w:rsid w:val="00362159"/>
    <w:rsid w:val="00370B08"/>
    <w:rsid w:val="00370B92"/>
    <w:rsid w:val="00375871"/>
    <w:rsid w:val="00385C42"/>
    <w:rsid w:val="0039266E"/>
    <w:rsid w:val="00392A2F"/>
    <w:rsid w:val="003A1076"/>
    <w:rsid w:val="003A16A4"/>
    <w:rsid w:val="003A3D20"/>
    <w:rsid w:val="003B0BF9"/>
    <w:rsid w:val="003B1673"/>
    <w:rsid w:val="003B1E83"/>
    <w:rsid w:val="003B31C7"/>
    <w:rsid w:val="003B3948"/>
    <w:rsid w:val="003C2A45"/>
    <w:rsid w:val="003C4D0A"/>
    <w:rsid w:val="003D7B65"/>
    <w:rsid w:val="003E0791"/>
    <w:rsid w:val="003E4C47"/>
    <w:rsid w:val="003E72C7"/>
    <w:rsid w:val="003E78E1"/>
    <w:rsid w:val="003F0A91"/>
    <w:rsid w:val="003F28AC"/>
    <w:rsid w:val="003F5977"/>
    <w:rsid w:val="004110D3"/>
    <w:rsid w:val="004123F3"/>
    <w:rsid w:val="00416EAA"/>
    <w:rsid w:val="0042085E"/>
    <w:rsid w:val="00427AAE"/>
    <w:rsid w:val="004454FE"/>
    <w:rsid w:val="00446751"/>
    <w:rsid w:val="00456E40"/>
    <w:rsid w:val="00471F27"/>
    <w:rsid w:val="004829AA"/>
    <w:rsid w:val="00482A7E"/>
    <w:rsid w:val="00486E8B"/>
    <w:rsid w:val="004905CD"/>
    <w:rsid w:val="0049292E"/>
    <w:rsid w:val="004A333A"/>
    <w:rsid w:val="004B48C6"/>
    <w:rsid w:val="004C1232"/>
    <w:rsid w:val="004C6794"/>
    <w:rsid w:val="004C6CB7"/>
    <w:rsid w:val="004D6297"/>
    <w:rsid w:val="004F036D"/>
    <w:rsid w:val="004F5AC1"/>
    <w:rsid w:val="0050178F"/>
    <w:rsid w:val="00506242"/>
    <w:rsid w:val="00536082"/>
    <w:rsid w:val="00544D0A"/>
    <w:rsid w:val="005459F9"/>
    <w:rsid w:val="00550FF5"/>
    <w:rsid w:val="00554794"/>
    <w:rsid w:val="00562146"/>
    <w:rsid w:val="00567D60"/>
    <w:rsid w:val="00572FCE"/>
    <w:rsid w:val="005774C9"/>
    <w:rsid w:val="00581022"/>
    <w:rsid w:val="00582CEA"/>
    <w:rsid w:val="005867F3"/>
    <w:rsid w:val="0059353D"/>
    <w:rsid w:val="00596F57"/>
    <w:rsid w:val="0059731E"/>
    <w:rsid w:val="005A2522"/>
    <w:rsid w:val="005C6EC3"/>
    <w:rsid w:val="005D1538"/>
    <w:rsid w:val="005D3ADF"/>
    <w:rsid w:val="005D41F0"/>
    <w:rsid w:val="005E63CC"/>
    <w:rsid w:val="005F180A"/>
    <w:rsid w:val="005F601B"/>
    <w:rsid w:val="00612CA1"/>
    <w:rsid w:val="00615F3E"/>
    <w:rsid w:val="00616127"/>
    <w:rsid w:val="00616C8C"/>
    <w:rsid w:val="00621837"/>
    <w:rsid w:val="00621D2C"/>
    <w:rsid w:val="0064027F"/>
    <w:rsid w:val="0064441C"/>
    <w:rsid w:val="006532D9"/>
    <w:rsid w:val="0065564E"/>
    <w:rsid w:val="006556EB"/>
    <w:rsid w:val="00655F2C"/>
    <w:rsid w:val="006626B3"/>
    <w:rsid w:val="006753FA"/>
    <w:rsid w:val="00681FF2"/>
    <w:rsid w:val="00684D34"/>
    <w:rsid w:val="00693D1A"/>
    <w:rsid w:val="006C4A72"/>
    <w:rsid w:val="006D5CC6"/>
    <w:rsid w:val="006E1081"/>
    <w:rsid w:val="006E21B6"/>
    <w:rsid w:val="006E39FA"/>
    <w:rsid w:val="006F1A33"/>
    <w:rsid w:val="006F39DD"/>
    <w:rsid w:val="00700075"/>
    <w:rsid w:val="007000B1"/>
    <w:rsid w:val="00720585"/>
    <w:rsid w:val="00740AC8"/>
    <w:rsid w:val="0074426F"/>
    <w:rsid w:val="00751139"/>
    <w:rsid w:val="00754939"/>
    <w:rsid w:val="00757D76"/>
    <w:rsid w:val="00773AF6"/>
    <w:rsid w:val="00777B26"/>
    <w:rsid w:val="00785923"/>
    <w:rsid w:val="00790810"/>
    <w:rsid w:val="00790980"/>
    <w:rsid w:val="00795F71"/>
    <w:rsid w:val="007963C8"/>
    <w:rsid w:val="007A1AFD"/>
    <w:rsid w:val="007A3921"/>
    <w:rsid w:val="007A7B19"/>
    <w:rsid w:val="007A7FBD"/>
    <w:rsid w:val="007C20ED"/>
    <w:rsid w:val="007C2F69"/>
    <w:rsid w:val="007D1414"/>
    <w:rsid w:val="007D292A"/>
    <w:rsid w:val="007D5607"/>
    <w:rsid w:val="007D7447"/>
    <w:rsid w:val="007E2EEF"/>
    <w:rsid w:val="007E5F7A"/>
    <w:rsid w:val="007E73AB"/>
    <w:rsid w:val="007F0B69"/>
    <w:rsid w:val="007F3FE8"/>
    <w:rsid w:val="00803099"/>
    <w:rsid w:val="00804464"/>
    <w:rsid w:val="00816C11"/>
    <w:rsid w:val="00820EF5"/>
    <w:rsid w:val="00831B37"/>
    <w:rsid w:val="008414BE"/>
    <w:rsid w:val="00864745"/>
    <w:rsid w:val="00864E96"/>
    <w:rsid w:val="00886388"/>
    <w:rsid w:val="00894C55"/>
    <w:rsid w:val="00896750"/>
    <w:rsid w:val="008A29E8"/>
    <w:rsid w:val="008A6333"/>
    <w:rsid w:val="008A6B36"/>
    <w:rsid w:val="008B4E4D"/>
    <w:rsid w:val="008C205A"/>
    <w:rsid w:val="008C244C"/>
    <w:rsid w:val="008C5452"/>
    <w:rsid w:val="008D0E3F"/>
    <w:rsid w:val="008D57BA"/>
    <w:rsid w:val="008D5A46"/>
    <w:rsid w:val="008D5DCA"/>
    <w:rsid w:val="008E5472"/>
    <w:rsid w:val="008E7F63"/>
    <w:rsid w:val="008F3B19"/>
    <w:rsid w:val="0091302F"/>
    <w:rsid w:val="009162AC"/>
    <w:rsid w:val="009175E7"/>
    <w:rsid w:val="009177BB"/>
    <w:rsid w:val="009208B1"/>
    <w:rsid w:val="0093229D"/>
    <w:rsid w:val="009349AF"/>
    <w:rsid w:val="0093735A"/>
    <w:rsid w:val="0094127B"/>
    <w:rsid w:val="00941620"/>
    <w:rsid w:val="00943F6C"/>
    <w:rsid w:val="00944015"/>
    <w:rsid w:val="00953C94"/>
    <w:rsid w:val="00954515"/>
    <w:rsid w:val="009565D0"/>
    <w:rsid w:val="0096297A"/>
    <w:rsid w:val="00966CC1"/>
    <w:rsid w:val="00972863"/>
    <w:rsid w:val="00996919"/>
    <w:rsid w:val="009A2654"/>
    <w:rsid w:val="009B2E2E"/>
    <w:rsid w:val="009B5AF7"/>
    <w:rsid w:val="009B62DA"/>
    <w:rsid w:val="009B7C5C"/>
    <w:rsid w:val="009C1266"/>
    <w:rsid w:val="009D25D7"/>
    <w:rsid w:val="009D7C8B"/>
    <w:rsid w:val="009E03E2"/>
    <w:rsid w:val="009E499A"/>
    <w:rsid w:val="009E6E3E"/>
    <w:rsid w:val="009F3C3D"/>
    <w:rsid w:val="00A07B6C"/>
    <w:rsid w:val="00A10FC3"/>
    <w:rsid w:val="00A11314"/>
    <w:rsid w:val="00A13F4C"/>
    <w:rsid w:val="00A170BF"/>
    <w:rsid w:val="00A21C94"/>
    <w:rsid w:val="00A30002"/>
    <w:rsid w:val="00A3099A"/>
    <w:rsid w:val="00A3174A"/>
    <w:rsid w:val="00A42E42"/>
    <w:rsid w:val="00A454F9"/>
    <w:rsid w:val="00A6073E"/>
    <w:rsid w:val="00A655E6"/>
    <w:rsid w:val="00A70B96"/>
    <w:rsid w:val="00A71D16"/>
    <w:rsid w:val="00A74580"/>
    <w:rsid w:val="00A76AB9"/>
    <w:rsid w:val="00A83401"/>
    <w:rsid w:val="00A87CE8"/>
    <w:rsid w:val="00AA0F0D"/>
    <w:rsid w:val="00AB3EE1"/>
    <w:rsid w:val="00AC29E4"/>
    <w:rsid w:val="00AC4A6D"/>
    <w:rsid w:val="00AC6168"/>
    <w:rsid w:val="00AD6F7A"/>
    <w:rsid w:val="00AE5567"/>
    <w:rsid w:val="00AE6364"/>
    <w:rsid w:val="00AF0C68"/>
    <w:rsid w:val="00AF1239"/>
    <w:rsid w:val="00B01D6A"/>
    <w:rsid w:val="00B14A7E"/>
    <w:rsid w:val="00B16480"/>
    <w:rsid w:val="00B2165C"/>
    <w:rsid w:val="00B30550"/>
    <w:rsid w:val="00B35869"/>
    <w:rsid w:val="00B40278"/>
    <w:rsid w:val="00B417DB"/>
    <w:rsid w:val="00B50E8F"/>
    <w:rsid w:val="00B50F03"/>
    <w:rsid w:val="00B53752"/>
    <w:rsid w:val="00B60DFD"/>
    <w:rsid w:val="00B630E9"/>
    <w:rsid w:val="00B647CE"/>
    <w:rsid w:val="00B66630"/>
    <w:rsid w:val="00B74A6F"/>
    <w:rsid w:val="00B81634"/>
    <w:rsid w:val="00B82019"/>
    <w:rsid w:val="00B85D4D"/>
    <w:rsid w:val="00B93589"/>
    <w:rsid w:val="00BA1DB6"/>
    <w:rsid w:val="00BA20AA"/>
    <w:rsid w:val="00BA680A"/>
    <w:rsid w:val="00BD1C03"/>
    <w:rsid w:val="00BD4425"/>
    <w:rsid w:val="00BD72DE"/>
    <w:rsid w:val="00BF25D2"/>
    <w:rsid w:val="00BF774B"/>
    <w:rsid w:val="00C0770E"/>
    <w:rsid w:val="00C25B49"/>
    <w:rsid w:val="00C270BD"/>
    <w:rsid w:val="00C31CE6"/>
    <w:rsid w:val="00C32E05"/>
    <w:rsid w:val="00C33785"/>
    <w:rsid w:val="00C36C17"/>
    <w:rsid w:val="00C43D96"/>
    <w:rsid w:val="00C505EF"/>
    <w:rsid w:val="00C5187A"/>
    <w:rsid w:val="00C51D9D"/>
    <w:rsid w:val="00C52A30"/>
    <w:rsid w:val="00C55464"/>
    <w:rsid w:val="00C55B56"/>
    <w:rsid w:val="00C57DB7"/>
    <w:rsid w:val="00C60AFC"/>
    <w:rsid w:val="00C62BFF"/>
    <w:rsid w:val="00C73E68"/>
    <w:rsid w:val="00C829BB"/>
    <w:rsid w:val="00C82ABB"/>
    <w:rsid w:val="00C97E63"/>
    <w:rsid w:val="00CA0309"/>
    <w:rsid w:val="00CA3DC2"/>
    <w:rsid w:val="00CA3FA4"/>
    <w:rsid w:val="00CA649E"/>
    <w:rsid w:val="00CB07A9"/>
    <w:rsid w:val="00CB7980"/>
    <w:rsid w:val="00CB7D73"/>
    <w:rsid w:val="00CC0D2D"/>
    <w:rsid w:val="00CC456F"/>
    <w:rsid w:val="00CC7893"/>
    <w:rsid w:val="00CD30E7"/>
    <w:rsid w:val="00CD6627"/>
    <w:rsid w:val="00CE194C"/>
    <w:rsid w:val="00CE5657"/>
    <w:rsid w:val="00CF0BDC"/>
    <w:rsid w:val="00D026D6"/>
    <w:rsid w:val="00D133F8"/>
    <w:rsid w:val="00D14A3E"/>
    <w:rsid w:val="00D334A3"/>
    <w:rsid w:val="00D42A1E"/>
    <w:rsid w:val="00D44970"/>
    <w:rsid w:val="00D44B68"/>
    <w:rsid w:val="00D5095A"/>
    <w:rsid w:val="00D52BE9"/>
    <w:rsid w:val="00D533C8"/>
    <w:rsid w:val="00D5396F"/>
    <w:rsid w:val="00D66903"/>
    <w:rsid w:val="00D67F35"/>
    <w:rsid w:val="00D74099"/>
    <w:rsid w:val="00D749A4"/>
    <w:rsid w:val="00D81642"/>
    <w:rsid w:val="00D81D28"/>
    <w:rsid w:val="00D860B7"/>
    <w:rsid w:val="00D9066F"/>
    <w:rsid w:val="00DA3B03"/>
    <w:rsid w:val="00DA6748"/>
    <w:rsid w:val="00DB49AB"/>
    <w:rsid w:val="00DB6E5D"/>
    <w:rsid w:val="00DC0860"/>
    <w:rsid w:val="00DD3B73"/>
    <w:rsid w:val="00DE4171"/>
    <w:rsid w:val="00DF3AC6"/>
    <w:rsid w:val="00DF6368"/>
    <w:rsid w:val="00E10701"/>
    <w:rsid w:val="00E12F5A"/>
    <w:rsid w:val="00E1737E"/>
    <w:rsid w:val="00E20815"/>
    <w:rsid w:val="00E21A2D"/>
    <w:rsid w:val="00E23028"/>
    <w:rsid w:val="00E31FEC"/>
    <w:rsid w:val="00E32B95"/>
    <w:rsid w:val="00E35AA0"/>
    <w:rsid w:val="00E3716B"/>
    <w:rsid w:val="00E5323B"/>
    <w:rsid w:val="00E53719"/>
    <w:rsid w:val="00E664B6"/>
    <w:rsid w:val="00E73702"/>
    <w:rsid w:val="00E746B4"/>
    <w:rsid w:val="00E754B6"/>
    <w:rsid w:val="00E8749E"/>
    <w:rsid w:val="00E90C01"/>
    <w:rsid w:val="00EA31F2"/>
    <w:rsid w:val="00EA486E"/>
    <w:rsid w:val="00ED397F"/>
    <w:rsid w:val="00EE52B4"/>
    <w:rsid w:val="00EE54FC"/>
    <w:rsid w:val="00EF21F6"/>
    <w:rsid w:val="00F02B02"/>
    <w:rsid w:val="00F051FD"/>
    <w:rsid w:val="00F06072"/>
    <w:rsid w:val="00F321F8"/>
    <w:rsid w:val="00F43336"/>
    <w:rsid w:val="00F474B7"/>
    <w:rsid w:val="00F53010"/>
    <w:rsid w:val="00F53945"/>
    <w:rsid w:val="00F57B0C"/>
    <w:rsid w:val="00F84416"/>
    <w:rsid w:val="00F87F78"/>
    <w:rsid w:val="00F9548B"/>
    <w:rsid w:val="00FC18B8"/>
    <w:rsid w:val="00FD6A84"/>
    <w:rsid w:val="00FE6860"/>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077DD7"/>
    <w:rPr>
      <w:sz w:val="16"/>
      <w:szCs w:val="16"/>
    </w:rPr>
  </w:style>
  <w:style w:type="paragraph" w:styleId="CommentText">
    <w:name w:val="annotation text"/>
    <w:basedOn w:val="Normal"/>
    <w:link w:val="CommentTextChar"/>
    <w:uiPriority w:val="99"/>
    <w:semiHidden/>
    <w:unhideWhenUsed/>
    <w:rsid w:val="00077DD7"/>
    <w:pPr>
      <w:spacing w:line="240" w:lineRule="auto"/>
    </w:pPr>
    <w:rPr>
      <w:sz w:val="20"/>
      <w:szCs w:val="20"/>
    </w:rPr>
  </w:style>
  <w:style w:type="character" w:customStyle="1" w:styleId="CommentTextChar">
    <w:name w:val="Comment Text Char"/>
    <w:basedOn w:val="DefaultParagraphFont"/>
    <w:link w:val="CommentText"/>
    <w:uiPriority w:val="99"/>
    <w:semiHidden/>
    <w:rsid w:val="00077DD7"/>
    <w:rPr>
      <w:sz w:val="20"/>
      <w:szCs w:val="20"/>
    </w:rPr>
  </w:style>
  <w:style w:type="paragraph" w:styleId="CommentSubject">
    <w:name w:val="annotation subject"/>
    <w:basedOn w:val="CommentText"/>
    <w:next w:val="CommentText"/>
    <w:link w:val="CommentSubjectChar"/>
    <w:uiPriority w:val="99"/>
    <w:semiHidden/>
    <w:unhideWhenUsed/>
    <w:rsid w:val="00077DD7"/>
    <w:rPr>
      <w:b/>
      <w:bCs/>
    </w:rPr>
  </w:style>
  <w:style w:type="character" w:customStyle="1" w:styleId="CommentSubjectChar">
    <w:name w:val="Comment Subject Char"/>
    <w:basedOn w:val="CommentTextChar"/>
    <w:link w:val="CommentSubject"/>
    <w:uiPriority w:val="99"/>
    <w:semiHidden/>
    <w:rsid w:val="00077DD7"/>
    <w:rPr>
      <w:b/>
      <w:bCs/>
      <w:sz w:val="20"/>
      <w:szCs w:val="20"/>
    </w:rPr>
  </w:style>
  <w:style w:type="paragraph" w:customStyle="1" w:styleId="li">
    <w:name w:val="li"/>
    <w:basedOn w:val="Normal"/>
    <w:rsid w:val="00385C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85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C42"/>
    <w:rPr>
      <w:sz w:val="20"/>
      <w:szCs w:val="20"/>
    </w:rPr>
  </w:style>
  <w:style w:type="character" w:styleId="FootnoteReference">
    <w:name w:val="footnote reference"/>
    <w:basedOn w:val="DefaultParagraphFont"/>
    <w:uiPriority w:val="99"/>
    <w:semiHidden/>
    <w:unhideWhenUsed/>
    <w:rsid w:val="00385C42"/>
    <w:rPr>
      <w:vertAlign w:val="superscript"/>
    </w:rPr>
  </w:style>
  <w:style w:type="character" w:customStyle="1" w:styleId="UnresolvedMention1">
    <w:name w:val="Unresolved Mention1"/>
    <w:basedOn w:val="DefaultParagraphFont"/>
    <w:uiPriority w:val="99"/>
    <w:semiHidden/>
    <w:unhideWhenUsed/>
    <w:rsid w:val="00C829B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077DD7"/>
    <w:rPr>
      <w:sz w:val="16"/>
      <w:szCs w:val="16"/>
    </w:rPr>
  </w:style>
  <w:style w:type="paragraph" w:styleId="CommentText">
    <w:name w:val="annotation text"/>
    <w:basedOn w:val="Normal"/>
    <w:link w:val="CommentTextChar"/>
    <w:uiPriority w:val="99"/>
    <w:semiHidden/>
    <w:unhideWhenUsed/>
    <w:rsid w:val="00077DD7"/>
    <w:pPr>
      <w:spacing w:line="240" w:lineRule="auto"/>
    </w:pPr>
    <w:rPr>
      <w:sz w:val="20"/>
      <w:szCs w:val="20"/>
    </w:rPr>
  </w:style>
  <w:style w:type="character" w:customStyle="1" w:styleId="CommentTextChar">
    <w:name w:val="Comment Text Char"/>
    <w:basedOn w:val="DefaultParagraphFont"/>
    <w:link w:val="CommentText"/>
    <w:uiPriority w:val="99"/>
    <w:semiHidden/>
    <w:rsid w:val="00077DD7"/>
    <w:rPr>
      <w:sz w:val="20"/>
      <w:szCs w:val="20"/>
    </w:rPr>
  </w:style>
  <w:style w:type="paragraph" w:styleId="CommentSubject">
    <w:name w:val="annotation subject"/>
    <w:basedOn w:val="CommentText"/>
    <w:next w:val="CommentText"/>
    <w:link w:val="CommentSubjectChar"/>
    <w:uiPriority w:val="99"/>
    <w:semiHidden/>
    <w:unhideWhenUsed/>
    <w:rsid w:val="00077DD7"/>
    <w:rPr>
      <w:b/>
      <w:bCs/>
    </w:rPr>
  </w:style>
  <w:style w:type="character" w:customStyle="1" w:styleId="CommentSubjectChar">
    <w:name w:val="Comment Subject Char"/>
    <w:basedOn w:val="CommentTextChar"/>
    <w:link w:val="CommentSubject"/>
    <w:uiPriority w:val="99"/>
    <w:semiHidden/>
    <w:rsid w:val="00077DD7"/>
    <w:rPr>
      <w:b/>
      <w:bCs/>
      <w:sz w:val="20"/>
      <w:szCs w:val="20"/>
    </w:rPr>
  </w:style>
  <w:style w:type="paragraph" w:customStyle="1" w:styleId="li">
    <w:name w:val="li"/>
    <w:basedOn w:val="Normal"/>
    <w:rsid w:val="00385C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85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C42"/>
    <w:rPr>
      <w:sz w:val="20"/>
      <w:szCs w:val="20"/>
    </w:rPr>
  </w:style>
  <w:style w:type="character" w:styleId="FootnoteReference">
    <w:name w:val="footnote reference"/>
    <w:basedOn w:val="DefaultParagraphFont"/>
    <w:uiPriority w:val="99"/>
    <w:semiHidden/>
    <w:unhideWhenUsed/>
    <w:rsid w:val="00385C42"/>
    <w:rPr>
      <w:vertAlign w:val="superscript"/>
    </w:rPr>
  </w:style>
  <w:style w:type="character" w:customStyle="1" w:styleId="UnresolvedMention1">
    <w:name w:val="Unresolved Mention1"/>
    <w:basedOn w:val="DefaultParagraphFont"/>
    <w:uiPriority w:val="99"/>
    <w:semiHidden/>
    <w:unhideWhenUsed/>
    <w:rsid w:val="00C829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14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882279">
      <w:bodyDiv w:val="1"/>
      <w:marLeft w:val="0"/>
      <w:marRight w:val="0"/>
      <w:marTop w:val="0"/>
      <w:marBottom w:val="0"/>
      <w:divBdr>
        <w:top w:val="none" w:sz="0" w:space="0" w:color="auto"/>
        <w:left w:val="none" w:sz="0" w:space="0" w:color="auto"/>
        <w:bottom w:val="none" w:sz="0" w:space="0" w:color="auto"/>
        <w:right w:val="none" w:sz="0" w:space="0" w:color="auto"/>
      </w:divBdr>
    </w:div>
    <w:div w:id="85164582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80560759">
      <w:bodyDiv w:val="1"/>
      <w:marLeft w:val="0"/>
      <w:marRight w:val="0"/>
      <w:marTop w:val="0"/>
      <w:marBottom w:val="0"/>
      <w:divBdr>
        <w:top w:val="none" w:sz="0" w:space="0" w:color="auto"/>
        <w:left w:val="none" w:sz="0" w:space="0" w:color="auto"/>
        <w:bottom w:val="none" w:sz="0" w:space="0" w:color="auto"/>
        <w:right w:val="none" w:sz="0" w:space="0" w:color="auto"/>
      </w:divBdr>
    </w:div>
    <w:div w:id="1681732017">
      <w:bodyDiv w:val="1"/>
      <w:marLeft w:val="0"/>
      <w:marRight w:val="0"/>
      <w:marTop w:val="0"/>
      <w:marBottom w:val="0"/>
      <w:divBdr>
        <w:top w:val="none" w:sz="0" w:space="0" w:color="auto"/>
        <w:left w:val="none" w:sz="0" w:space="0" w:color="auto"/>
        <w:bottom w:val="none" w:sz="0" w:space="0" w:color="auto"/>
        <w:right w:val="none" w:sz="0" w:space="0" w:color="auto"/>
      </w:divBdr>
    </w:div>
    <w:div w:id="1752847227">
      <w:bodyDiv w:val="1"/>
      <w:marLeft w:val="0"/>
      <w:marRight w:val="0"/>
      <w:marTop w:val="0"/>
      <w:marBottom w:val="0"/>
      <w:divBdr>
        <w:top w:val="none" w:sz="0" w:space="0" w:color="auto"/>
        <w:left w:val="none" w:sz="0" w:space="0" w:color="auto"/>
        <w:bottom w:val="none" w:sz="0" w:space="0" w:color="auto"/>
        <w:right w:val="none" w:sz="0" w:space="0" w:color="auto"/>
      </w:divBdr>
    </w:div>
    <w:div w:id="21180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8E85-0614-4181-97D4-2F96BE15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20510</Words>
  <Characters>11692</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likumā "Par tautas nobalsošanu, likumu ierosināšanu un Eiropas pilsoņu iniciatīvu"" anotācija</vt:lpstr>
      <vt:lpstr>Tiesību akta nosaukums</vt:lpstr>
    </vt:vector>
  </TitlesOfParts>
  <Company>KNAB</Company>
  <LinksUpToDate>false</LinksUpToDate>
  <CharactersWithSpaces>32138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tautas nobalsošanu, likumu ierosināšanu un Eiropas pilsoņu iniciatīvu"" anotācija</dc:title>
  <dc:subject>Anotācija</dc:subject>
  <dc:creator>Evija Burbecka</dc:creator>
  <dc:description>Evija Burbecka; evija.burbecka@knab.gov.lv; 67797267</dc:description>
  <cp:lastModifiedBy>Evija Burbecka</cp:lastModifiedBy>
  <cp:revision>6</cp:revision>
  <cp:lastPrinted>2019-05-16T09:10:00Z</cp:lastPrinted>
  <dcterms:created xsi:type="dcterms:W3CDTF">2019-10-23T08:20:00Z</dcterms:created>
  <dcterms:modified xsi:type="dcterms:W3CDTF">2019-10-23T09:33:00Z</dcterms:modified>
</cp:coreProperties>
</file>