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53377" w14:textId="77777777" w:rsidR="0063654A" w:rsidRDefault="004F4040" w:rsidP="00EA5388">
      <w:pPr>
        <w:pStyle w:val="Header"/>
        <w:jc w:val="right"/>
        <w:rPr>
          <w:szCs w:val="24"/>
        </w:rPr>
      </w:pPr>
      <w:r w:rsidRPr="004F4040">
        <w:rPr>
          <w:szCs w:val="24"/>
        </w:rPr>
        <w:t>(</w:t>
      </w:r>
      <w:r w:rsidR="0063654A">
        <w:rPr>
          <w:szCs w:val="24"/>
        </w:rPr>
        <w:t>Apstiprināta ar</w:t>
      </w:r>
    </w:p>
    <w:p w14:paraId="73A885B6" w14:textId="3542E342" w:rsidR="004F4040" w:rsidRPr="004F4040" w:rsidRDefault="004F4040" w:rsidP="00EA5388">
      <w:pPr>
        <w:pStyle w:val="Header"/>
        <w:jc w:val="right"/>
        <w:rPr>
          <w:szCs w:val="24"/>
        </w:rPr>
      </w:pPr>
      <w:r w:rsidRPr="004F4040">
        <w:rPr>
          <w:szCs w:val="24"/>
        </w:rPr>
        <w:t>Ministru prezidenta</w:t>
      </w:r>
    </w:p>
    <w:p w14:paraId="231E95D3" w14:textId="21962EFF" w:rsidR="004F4040" w:rsidRPr="004F4040" w:rsidRDefault="004F4040" w:rsidP="004F4040">
      <w:pPr>
        <w:pStyle w:val="Header"/>
        <w:jc w:val="right"/>
        <w:rPr>
          <w:szCs w:val="24"/>
        </w:rPr>
      </w:pPr>
      <w:r w:rsidRPr="004F4040">
        <w:rPr>
          <w:szCs w:val="24"/>
        </w:rPr>
        <w:t>2018. gada </w:t>
      </w:r>
      <w:r w:rsidR="00731433">
        <w:rPr>
          <w:szCs w:val="24"/>
        </w:rPr>
        <w:t>29.</w:t>
      </w:r>
      <w:r w:rsidRPr="004F4040">
        <w:rPr>
          <w:szCs w:val="24"/>
        </w:rPr>
        <w:t> </w:t>
      </w:r>
      <w:r w:rsidR="00731433">
        <w:rPr>
          <w:szCs w:val="24"/>
        </w:rPr>
        <w:t>janvāra</w:t>
      </w:r>
    </w:p>
    <w:p w14:paraId="6766791F" w14:textId="6A1AF411" w:rsidR="004F4040" w:rsidRPr="004F4040" w:rsidRDefault="004F4040" w:rsidP="004F4040">
      <w:pPr>
        <w:pStyle w:val="Header"/>
        <w:jc w:val="right"/>
        <w:rPr>
          <w:szCs w:val="24"/>
        </w:rPr>
      </w:pPr>
      <w:r w:rsidRPr="004F4040">
        <w:rPr>
          <w:szCs w:val="24"/>
        </w:rPr>
        <w:tab/>
      </w:r>
      <w:r w:rsidRPr="004F4040">
        <w:rPr>
          <w:szCs w:val="24"/>
        </w:rPr>
        <w:tab/>
        <w:t>rīkojum</w:t>
      </w:r>
      <w:r w:rsidR="0063654A">
        <w:rPr>
          <w:szCs w:val="24"/>
        </w:rPr>
        <w:t>u</w:t>
      </w:r>
      <w:r w:rsidRPr="004F4040">
        <w:rPr>
          <w:szCs w:val="24"/>
        </w:rPr>
        <w:t xml:space="preserve"> Nr.</w:t>
      </w:r>
      <w:r w:rsidR="00731433">
        <w:rPr>
          <w:szCs w:val="24"/>
        </w:rPr>
        <w:t> 25</w:t>
      </w:r>
      <w:r w:rsidRPr="004F4040">
        <w:rPr>
          <w:szCs w:val="24"/>
        </w:rPr>
        <w:t>)</w:t>
      </w:r>
    </w:p>
    <w:p w14:paraId="42D0F1C3" w14:textId="77777777" w:rsidR="001F5D21" w:rsidRPr="0038447A" w:rsidRDefault="001F5D21">
      <w:pPr>
        <w:rPr>
          <w:sz w:val="26"/>
          <w:szCs w:val="26"/>
        </w:rPr>
      </w:pPr>
    </w:p>
    <w:p w14:paraId="42D0F1C4" w14:textId="77777777" w:rsidR="001F5D21" w:rsidRPr="0038447A" w:rsidRDefault="001F5D21" w:rsidP="001F5D21">
      <w:pPr>
        <w:rPr>
          <w:sz w:val="26"/>
          <w:szCs w:val="26"/>
        </w:rPr>
      </w:pPr>
    </w:p>
    <w:p w14:paraId="42D0F1C8" w14:textId="77777777" w:rsidR="001F5D21" w:rsidRPr="0038447A" w:rsidRDefault="001F5D21" w:rsidP="001F5D21">
      <w:pPr>
        <w:rPr>
          <w:sz w:val="26"/>
          <w:szCs w:val="26"/>
        </w:rPr>
      </w:pPr>
    </w:p>
    <w:p w14:paraId="42D0F1C9" w14:textId="77777777" w:rsidR="001F5D21" w:rsidRPr="0038447A" w:rsidRDefault="001F5D21" w:rsidP="001F5D21">
      <w:pPr>
        <w:rPr>
          <w:sz w:val="26"/>
          <w:szCs w:val="26"/>
        </w:rPr>
      </w:pPr>
    </w:p>
    <w:p w14:paraId="42D0F1CA" w14:textId="77777777" w:rsidR="001F5D21" w:rsidRPr="0038447A" w:rsidRDefault="001F5D21" w:rsidP="001F5D21">
      <w:pPr>
        <w:rPr>
          <w:sz w:val="26"/>
          <w:szCs w:val="26"/>
        </w:rPr>
      </w:pPr>
    </w:p>
    <w:p w14:paraId="42D0F1CB" w14:textId="77777777" w:rsidR="001F5D21" w:rsidRPr="0038447A" w:rsidRDefault="001F5D21" w:rsidP="001F5D21">
      <w:pPr>
        <w:rPr>
          <w:sz w:val="26"/>
          <w:szCs w:val="26"/>
        </w:rPr>
      </w:pPr>
    </w:p>
    <w:p w14:paraId="42D0F1CC" w14:textId="77777777" w:rsidR="001F5D21" w:rsidRPr="0038447A" w:rsidRDefault="001F5D21" w:rsidP="001F5D21">
      <w:pPr>
        <w:rPr>
          <w:sz w:val="26"/>
          <w:szCs w:val="26"/>
        </w:rPr>
      </w:pPr>
    </w:p>
    <w:p w14:paraId="42D0F1CD" w14:textId="77777777" w:rsidR="001F5D21" w:rsidRPr="0038447A" w:rsidRDefault="001F5D21" w:rsidP="001F5D21">
      <w:pPr>
        <w:rPr>
          <w:sz w:val="26"/>
          <w:szCs w:val="26"/>
        </w:rPr>
      </w:pPr>
    </w:p>
    <w:p w14:paraId="42D0F1CE" w14:textId="77777777" w:rsidR="00D714DA" w:rsidRPr="0038447A" w:rsidRDefault="00D714DA" w:rsidP="00D714DA">
      <w:pPr>
        <w:pStyle w:val="NoSpacing"/>
        <w:rPr>
          <w:sz w:val="26"/>
          <w:szCs w:val="26"/>
        </w:rPr>
      </w:pPr>
    </w:p>
    <w:p w14:paraId="42D0F1CF" w14:textId="77777777" w:rsidR="00D714DA" w:rsidRPr="0038447A" w:rsidRDefault="00D714DA" w:rsidP="00D714DA">
      <w:pPr>
        <w:pStyle w:val="NoSpacing"/>
        <w:rPr>
          <w:sz w:val="26"/>
          <w:szCs w:val="26"/>
        </w:rPr>
      </w:pPr>
    </w:p>
    <w:p w14:paraId="42D0F1D0" w14:textId="77777777" w:rsidR="00D714DA" w:rsidRPr="0038447A" w:rsidRDefault="00D714DA" w:rsidP="00D714DA">
      <w:pPr>
        <w:pStyle w:val="NoSpacing"/>
        <w:rPr>
          <w:sz w:val="26"/>
          <w:szCs w:val="26"/>
        </w:rPr>
      </w:pPr>
    </w:p>
    <w:p w14:paraId="42D0F1D1" w14:textId="77777777" w:rsidR="001F5D21" w:rsidRPr="0038447A" w:rsidRDefault="001F5D21" w:rsidP="007E550D">
      <w:pPr>
        <w:tabs>
          <w:tab w:val="left" w:pos="1770"/>
        </w:tabs>
        <w:ind w:firstLine="0"/>
        <w:jc w:val="center"/>
        <w:rPr>
          <w:rFonts w:cs="Times New Roman"/>
          <w:b/>
          <w:sz w:val="26"/>
          <w:szCs w:val="26"/>
        </w:rPr>
      </w:pPr>
      <w:r w:rsidRPr="0038447A">
        <w:rPr>
          <w:rFonts w:cs="Times New Roman"/>
          <w:b/>
          <w:sz w:val="26"/>
          <w:szCs w:val="26"/>
        </w:rPr>
        <w:t>Korupcijas novēršanas un apkarošanas biroja</w:t>
      </w:r>
    </w:p>
    <w:p w14:paraId="42D0F1D2" w14:textId="77777777" w:rsidR="001F5D21" w:rsidRPr="0038447A" w:rsidRDefault="008E2502" w:rsidP="007E550D">
      <w:pPr>
        <w:tabs>
          <w:tab w:val="left" w:pos="1770"/>
        </w:tabs>
        <w:ind w:firstLine="0"/>
        <w:jc w:val="center"/>
        <w:rPr>
          <w:rFonts w:cs="Times New Roman"/>
          <w:b/>
          <w:sz w:val="26"/>
          <w:szCs w:val="26"/>
        </w:rPr>
      </w:pPr>
      <w:r w:rsidRPr="0038447A">
        <w:rPr>
          <w:rFonts w:cs="Times New Roman"/>
          <w:b/>
          <w:sz w:val="26"/>
          <w:szCs w:val="26"/>
        </w:rPr>
        <w:t>darbības stratēģija 2018</w:t>
      </w:r>
      <w:r w:rsidR="001F5D21" w:rsidRPr="0038447A">
        <w:rPr>
          <w:rFonts w:cs="Times New Roman"/>
          <w:b/>
          <w:sz w:val="26"/>
          <w:szCs w:val="26"/>
        </w:rPr>
        <w:t>.</w:t>
      </w:r>
      <w:r w:rsidR="00DE2B80" w:rsidRPr="0038447A">
        <w:rPr>
          <w:rFonts w:cs="Times New Roman"/>
          <w:b/>
          <w:sz w:val="26"/>
          <w:szCs w:val="26"/>
        </w:rPr>
        <w:t xml:space="preserve"> </w:t>
      </w:r>
      <w:r w:rsidR="001F5D21" w:rsidRPr="0038447A">
        <w:rPr>
          <w:rFonts w:cs="Times New Roman"/>
          <w:b/>
          <w:sz w:val="26"/>
          <w:szCs w:val="26"/>
        </w:rPr>
        <w:t xml:space="preserve"> ̶  2019.gadam</w:t>
      </w:r>
    </w:p>
    <w:p w14:paraId="42D0F1D3" w14:textId="77777777" w:rsidR="001F5D21" w:rsidRPr="0038447A" w:rsidRDefault="001F5D21" w:rsidP="007E550D">
      <w:pPr>
        <w:ind w:firstLine="0"/>
        <w:jc w:val="center"/>
        <w:rPr>
          <w:rFonts w:cs="Times New Roman"/>
          <w:sz w:val="26"/>
          <w:szCs w:val="26"/>
        </w:rPr>
      </w:pPr>
    </w:p>
    <w:p w14:paraId="42D0F1D4" w14:textId="77777777" w:rsidR="001F5D21" w:rsidRPr="0038447A" w:rsidRDefault="001F5D21" w:rsidP="007E550D">
      <w:pPr>
        <w:ind w:firstLine="0"/>
        <w:jc w:val="center"/>
        <w:rPr>
          <w:rFonts w:cs="Times New Roman"/>
          <w:sz w:val="26"/>
          <w:szCs w:val="26"/>
        </w:rPr>
      </w:pPr>
    </w:p>
    <w:p w14:paraId="42D0F1D5" w14:textId="77777777" w:rsidR="001F5D21" w:rsidRPr="0038447A" w:rsidRDefault="001F5D21" w:rsidP="007E550D">
      <w:pPr>
        <w:ind w:firstLine="0"/>
        <w:jc w:val="center"/>
        <w:rPr>
          <w:rFonts w:cs="Times New Roman"/>
          <w:sz w:val="26"/>
          <w:szCs w:val="26"/>
        </w:rPr>
      </w:pPr>
    </w:p>
    <w:p w14:paraId="42D0F1D6" w14:textId="77777777" w:rsidR="001F5D21" w:rsidRPr="0038447A" w:rsidRDefault="001F5D21" w:rsidP="007E550D">
      <w:pPr>
        <w:ind w:firstLine="0"/>
        <w:jc w:val="center"/>
        <w:rPr>
          <w:rFonts w:cs="Times New Roman"/>
          <w:sz w:val="26"/>
          <w:szCs w:val="26"/>
        </w:rPr>
      </w:pPr>
    </w:p>
    <w:p w14:paraId="42D0F1D7" w14:textId="77777777" w:rsidR="001F5D21" w:rsidRPr="0038447A" w:rsidRDefault="001F5D21" w:rsidP="007E550D">
      <w:pPr>
        <w:ind w:firstLine="0"/>
        <w:jc w:val="center"/>
        <w:rPr>
          <w:rFonts w:cs="Times New Roman"/>
          <w:sz w:val="26"/>
          <w:szCs w:val="26"/>
        </w:rPr>
      </w:pPr>
    </w:p>
    <w:p w14:paraId="42D0F1D8" w14:textId="77777777" w:rsidR="001F5D21" w:rsidRPr="0038447A" w:rsidRDefault="001F5D21" w:rsidP="007E550D">
      <w:pPr>
        <w:ind w:firstLine="0"/>
        <w:jc w:val="center"/>
        <w:rPr>
          <w:rFonts w:cs="Times New Roman"/>
          <w:sz w:val="26"/>
          <w:szCs w:val="26"/>
        </w:rPr>
      </w:pPr>
    </w:p>
    <w:p w14:paraId="42D0F1D9" w14:textId="77777777" w:rsidR="001F5D21" w:rsidRPr="0038447A" w:rsidRDefault="001F5D21" w:rsidP="007E550D">
      <w:pPr>
        <w:ind w:firstLine="0"/>
        <w:jc w:val="center"/>
        <w:rPr>
          <w:rFonts w:cs="Times New Roman"/>
          <w:sz w:val="26"/>
          <w:szCs w:val="26"/>
        </w:rPr>
      </w:pPr>
    </w:p>
    <w:p w14:paraId="42D0F1DA" w14:textId="77777777" w:rsidR="001F5D21" w:rsidRPr="0038447A" w:rsidRDefault="001F5D21" w:rsidP="007E550D">
      <w:pPr>
        <w:ind w:firstLine="0"/>
        <w:jc w:val="center"/>
        <w:rPr>
          <w:rFonts w:cs="Times New Roman"/>
          <w:sz w:val="26"/>
          <w:szCs w:val="26"/>
        </w:rPr>
      </w:pPr>
    </w:p>
    <w:p w14:paraId="42D0F1DB" w14:textId="77777777" w:rsidR="003D1B6F" w:rsidRPr="0038447A" w:rsidRDefault="003D1B6F" w:rsidP="007E550D">
      <w:pPr>
        <w:pStyle w:val="NoSpacing"/>
        <w:rPr>
          <w:sz w:val="26"/>
          <w:szCs w:val="26"/>
        </w:rPr>
      </w:pPr>
    </w:p>
    <w:p w14:paraId="42D0F1DC" w14:textId="77777777" w:rsidR="003D1B6F" w:rsidRPr="0038447A" w:rsidRDefault="003D1B6F" w:rsidP="007E550D">
      <w:pPr>
        <w:pStyle w:val="NoSpacing"/>
        <w:rPr>
          <w:sz w:val="26"/>
          <w:szCs w:val="26"/>
        </w:rPr>
      </w:pPr>
    </w:p>
    <w:p w14:paraId="42D0F1DD" w14:textId="77777777" w:rsidR="003D1B6F" w:rsidRPr="0038447A" w:rsidRDefault="003D1B6F" w:rsidP="007E550D">
      <w:pPr>
        <w:pStyle w:val="NoSpacing"/>
        <w:rPr>
          <w:sz w:val="26"/>
          <w:szCs w:val="26"/>
        </w:rPr>
      </w:pPr>
    </w:p>
    <w:p w14:paraId="42D0F1DE" w14:textId="77777777" w:rsidR="003D1B6F" w:rsidRPr="0038447A" w:rsidRDefault="003D1B6F" w:rsidP="007E550D">
      <w:pPr>
        <w:pStyle w:val="NoSpacing"/>
        <w:rPr>
          <w:sz w:val="26"/>
          <w:szCs w:val="26"/>
        </w:rPr>
      </w:pPr>
    </w:p>
    <w:p w14:paraId="42D0F1DF" w14:textId="77777777" w:rsidR="003D1B6F" w:rsidRPr="0038447A" w:rsidRDefault="003D1B6F" w:rsidP="007E550D">
      <w:pPr>
        <w:pStyle w:val="NoSpacing"/>
        <w:rPr>
          <w:sz w:val="26"/>
          <w:szCs w:val="26"/>
        </w:rPr>
      </w:pPr>
    </w:p>
    <w:p w14:paraId="42D0F1E0" w14:textId="77777777" w:rsidR="003D1B6F" w:rsidRPr="0038447A" w:rsidRDefault="003D1B6F" w:rsidP="007E550D">
      <w:pPr>
        <w:pStyle w:val="NoSpacing"/>
        <w:rPr>
          <w:sz w:val="26"/>
          <w:szCs w:val="26"/>
        </w:rPr>
      </w:pPr>
    </w:p>
    <w:p w14:paraId="42D0F1E1" w14:textId="77777777" w:rsidR="003D1B6F" w:rsidRPr="0038447A" w:rsidRDefault="003D1B6F" w:rsidP="007E550D">
      <w:pPr>
        <w:pStyle w:val="NoSpacing"/>
        <w:rPr>
          <w:sz w:val="26"/>
          <w:szCs w:val="26"/>
        </w:rPr>
      </w:pPr>
    </w:p>
    <w:p w14:paraId="42D0F1E2" w14:textId="77777777" w:rsidR="003D1B6F" w:rsidRPr="0038447A" w:rsidRDefault="003D1B6F" w:rsidP="007E550D">
      <w:pPr>
        <w:pStyle w:val="NoSpacing"/>
        <w:rPr>
          <w:sz w:val="26"/>
          <w:szCs w:val="26"/>
        </w:rPr>
      </w:pPr>
    </w:p>
    <w:p w14:paraId="42D0F1E3" w14:textId="77777777" w:rsidR="003D1B6F" w:rsidRPr="0038447A" w:rsidRDefault="003D1B6F" w:rsidP="007E550D">
      <w:pPr>
        <w:pStyle w:val="NoSpacing"/>
        <w:rPr>
          <w:sz w:val="26"/>
          <w:szCs w:val="26"/>
        </w:rPr>
      </w:pPr>
    </w:p>
    <w:p w14:paraId="42D0F1E4" w14:textId="77777777" w:rsidR="003D1B6F" w:rsidRPr="0038447A" w:rsidRDefault="003D1B6F" w:rsidP="007E550D">
      <w:pPr>
        <w:pStyle w:val="NoSpacing"/>
        <w:rPr>
          <w:sz w:val="26"/>
          <w:szCs w:val="26"/>
        </w:rPr>
      </w:pPr>
    </w:p>
    <w:p w14:paraId="42D0F1E5" w14:textId="77777777" w:rsidR="003D1B6F" w:rsidRPr="0038447A" w:rsidRDefault="003D1B6F" w:rsidP="007E550D">
      <w:pPr>
        <w:pStyle w:val="NoSpacing"/>
        <w:rPr>
          <w:sz w:val="26"/>
          <w:szCs w:val="26"/>
        </w:rPr>
      </w:pPr>
    </w:p>
    <w:p w14:paraId="42D0F1E6" w14:textId="77777777" w:rsidR="003D1B6F" w:rsidRPr="0038447A" w:rsidRDefault="003D1B6F" w:rsidP="007E550D">
      <w:pPr>
        <w:pStyle w:val="NoSpacing"/>
        <w:rPr>
          <w:sz w:val="26"/>
          <w:szCs w:val="26"/>
        </w:rPr>
      </w:pPr>
    </w:p>
    <w:p w14:paraId="42D0F1E7" w14:textId="77777777" w:rsidR="003D1B6F" w:rsidRPr="0038447A" w:rsidRDefault="003D1B6F" w:rsidP="007E550D">
      <w:pPr>
        <w:pStyle w:val="NoSpacing"/>
        <w:rPr>
          <w:sz w:val="26"/>
          <w:szCs w:val="26"/>
        </w:rPr>
      </w:pPr>
    </w:p>
    <w:p w14:paraId="42D0F1E8" w14:textId="77777777" w:rsidR="003D1B6F" w:rsidRPr="0038447A" w:rsidRDefault="003D1B6F" w:rsidP="007E550D">
      <w:pPr>
        <w:pStyle w:val="NoSpacing"/>
        <w:rPr>
          <w:sz w:val="26"/>
          <w:szCs w:val="26"/>
        </w:rPr>
      </w:pPr>
    </w:p>
    <w:p w14:paraId="42D0F1E9" w14:textId="77777777" w:rsidR="001F5D21" w:rsidRPr="0038447A" w:rsidRDefault="001F5D21" w:rsidP="007E550D">
      <w:pPr>
        <w:ind w:firstLine="0"/>
        <w:jc w:val="center"/>
        <w:rPr>
          <w:rFonts w:cs="Times New Roman"/>
          <w:sz w:val="26"/>
          <w:szCs w:val="26"/>
        </w:rPr>
      </w:pPr>
    </w:p>
    <w:p w14:paraId="42D0F1EA" w14:textId="77777777" w:rsidR="002006B5" w:rsidRPr="0038447A" w:rsidRDefault="002006B5" w:rsidP="007E550D">
      <w:pPr>
        <w:tabs>
          <w:tab w:val="left" w:pos="2805"/>
        </w:tabs>
        <w:ind w:firstLine="0"/>
        <w:jc w:val="center"/>
        <w:rPr>
          <w:rFonts w:cs="Times New Roman"/>
          <w:sz w:val="26"/>
          <w:szCs w:val="26"/>
        </w:rPr>
      </w:pPr>
    </w:p>
    <w:p w14:paraId="42D0F1EB" w14:textId="77777777" w:rsidR="002006B5" w:rsidRPr="0038447A" w:rsidRDefault="002006B5" w:rsidP="007E550D">
      <w:pPr>
        <w:pStyle w:val="NoSpacing"/>
        <w:rPr>
          <w:sz w:val="26"/>
          <w:szCs w:val="26"/>
        </w:rPr>
      </w:pPr>
    </w:p>
    <w:p w14:paraId="42D0F1EC" w14:textId="77777777" w:rsidR="002006B5" w:rsidRPr="0038447A" w:rsidRDefault="002006B5" w:rsidP="007E550D">
      <w:pPr>
        <w:tabs>
          <w:tab w:val="left" w:pos="2805"/>
        </w:tabs>
        <w:ind w:firstLine="0"/>
        <w:jc w:val="center"/>
        <w:rPr>
          <w:rFonts w:cs="Times New Roman"/>
          <w:sz w:val="26"/>
          <w:szCs w:val="26"/>
        </w:rPr>
      </w:pPr>
    </w:p>
    <w:p w14:paraId="42D0F1ED" w14:textId="77777777" w:rsidR="002006B5" w:rsidRPr="0038447A" w:rsidRDefault="002006B5" w:rsidP="007E550D">
      <w:pPr>
        <w:tabs>
          <w:tab w:val="left" w:pos="2805"/>
        </w:tabs>
        <w:ind w:firstLine="0"/>
        <w:jc w:val="center"/>
        <w:rPr>
          <w:rFonts w:cs="Times New Roman"/>
          <w:sz w:val="26"/>
          <w:szCs w:val="26"/>
        </w:rPr>
      </w:pPr>
    </w:p>
    <w:p w14:paraId="42D0F1EE" w14:textId="77777777" w:rsidR="002006B5" w:rsidRPr="0038447A" w:rsidRDefault="002006B5" w:rsidP="007E550D">
      <w:pPr>
        <w:tabs>
          <w:tab w:val="left" w:pos="2805"/>
        </w:tabs>
        <w:ind w:firstLine="0"/>
        <w:jc w:val="center"/>
        <w:rPr>
          <w:rFonts w:cs="Times New Roman"/>
          <w:sz w:val="26"/>
          <w:szCs w:val="26"/>
        </w:rPr>
      </w:pPr>
    </w:p>
    <w:p w14:paraId="42D0F1EF" w14:textId="77777777" w:rsidR="002006B5" w:rsidRPr="0038447A" w:rsidRDefault="0059273F" w:rsidP="007E550D">
      <w:pPr>
        <w:tabs>
          <w:tab w:val="left" w:pos="2805"/>
        </w:tabs>
        <w:ind w:firstLine="0"/>
        <w:jc w:val="center"/>
        <w:rPr>
          <w:rFonts w:cs="Times New Roman"/>
          <w:sz w:val="26"/>
          <w:szCs w:val="26"/>
        </w:rPr>
      </w:pPr>
      <w:r w:rsidRPr="0038447A">
        <w:rPr>
          <w:rFonts w:cs="Times New Roman"/>
          <w:sz w:val="26"/>
          <w:szCs w:val="26"/>
        </w:rPr>
        <w:t xml:space="preserve">RĪGA, </w:t>
      </w:r>
      <w:r w:rsidR="00CE0814" w:rsidRPr="0038447A">
        <w:rPr>
          <w:rFonts w:cs="Times New Roman"/>
          <w:sz w:val="26"/>
          <w:szCs w:val="26"/>
        </w:rPr>
        <w:t>201</w:t>
      </w:r>
      <w:r w:rsidR="00CE0814">
        <w:rPr>
          <w:rFonts w:cs="Times New Roman"/>
          <w:sz w:val="26"/>
          <w:szCs w:val="26"/>
        </w:rPr>
        <w:t>8</w:t>
      </w:r>
    </w:p>
    <w:p w14:paraId="42D0F1F0" w14:textId="77777777" w:rsidR="002006B5" w:rsidRPr="0038447A" w:rsidRDefault="002006B5" w:rsidP="002006B5">
      <w:pPr>
        <w:pStyle w:val="NoSpacing"/>
        <w:rPr>
          <w:sz w:val="26"/>
          <w:szCs w:val="26"/>
        </w:rPr>
      </w:pPr>
      <w:r w:rsidRPr="0038447A">
        <w:rPr>
          <w:sz w:val="26"/>
          <w:szCs w:val="26"/>
        </w:rPr>
        <w:br w:type="page"/>
      </w:r>
    </w:p>
    <w:sdt>
      <w:sdtPr>
        <w:rPr>
          <w:rFonts w:ascii="Times New Roman" w:eastAsiaTheme="minorHAnsi" w:hAnsi="Times New Roman" w:cstheme="minorBidi"/>
          <w:b w:val="0"/>
          <w:bCs w:val="0"/>
          <w:color w:val="auto"/>
          <w:sz w:val="26"/>
          <w:szCs w:val="26"/>
          <w:lang w:val="lv-LV" w:eastAsia="en-US"/>
        </w:rPr>
        <w:id w:val="-1862651581"/>
        <w:docPartObj>
          <w:docPartGallery w:val="Table of Contents"/>
          <w:docPartUnique/>
        </w:docPartObj>
      </w:sdtPr>
      <w:sdtEndPr>
        <w:rPr>
          <w:noProof/>
        </w:rPr>
      </w:sdtEndPr>
      <w:sdtContent>
        <w:p w14:paraId="42D0F1F1" w14:textId="77777777" w:rsidR="00DE2B80" w:rsidRPr="0038447A" w:rsidRDefault="00DE2B80">
          <w:pPr>
            <w:pStyle w:val="TOCHeading"/>
            <w:rPr>
              <w:color w:val="auto"/>
              <w:sz w:val="26"/>
              <w:szCs w:val="26"/>
              <w:lang w:val="lv-LV"/>
            </w:rPr>
          </w:pPr>
          <w:r w:rsidRPr="0038447A">
            <w:rPr>
              <w:color w:val="auto"/>
              <w:sz w:val="26"/>
              <w:szCs w:val="26"/>
              <w:lang w:val="lv-LV"/>
            </w:rPr>
            <w:t>Saturs</w:t>
          </w:r>
        </w:p>
        <w:p w14:paraId="42D0F1F2" w14:textId="1008071D" w:rsidR="00460E56" w:rsidRPr="0038447A" w:rsidRDefault="00DE2B80" w:rsidP="00C11763">
          <w:pPr>
            <w:pStyle w:val="TOC1"/>
            <w:tabs>
              <w:tab w:val="clear" w:pos="709"/>
              <w:tab w:val="left" w:pos="426"/>
            </w:tabs>
            <w:ind w:left="142"/>
            <w:rPr>
              <w:rFonts w:asciiTheme="minorHAnsi" w:eastAsiaTheme="minorEastAsia" w:hAnsiTheme="minorHAnsi"/>
              <w:noProof/>
              <w:sz w:val="26"/>
              <w:szCs w:val="26"/>
              <w:lang w:eastAsia="lv-LV"/>
            </w:rPr>
          </w:pPr>
          <w:r w:rsidRPr="0038447A">
            <w:rPr>
              <w:sz w:val="26"/>
              <w:szCs w:val="26"/>
            </w:rPr>
            <w:fldChar w:fldCharType="begin"/>
          </w:r>
          <w:r w:rsidRPr="0038447A">
            <w:rPr>
              <w:sz w:val="26"/>
              <w:szCs w:val="26"/>
            </w:rPr>
            <w:instrText xml:space="preserve"> TOC \o "1-3" \h \z \u </w:instrText>
          </w:r>
          <w:r w:rsidRPr="0038447A">
            <w:rPr>
              <w:sz w:val="26"/>
              <w:szCs w:val="26"/>
            </w:rPr>
            <w:fldChar w:fldCharType="separate"/>
          </w:r>
          <w:hyperlink w:anchor="_Toc500150875" w:history="1">
            <w:r w:rsidR="00460E56" w:rsidRPr="0038447A">
              <w:rPr>
                <w:rStyle w:val="Hyperlink"/>
                <w:noProof/>
                <w:sz w:val="26"/>
                <w:szCs w:val="26"/>
              </w:rPr>
              <w:t>1.</w:t>
            </w:r>
            <w:r w:rsidR="00460E56" w:rsidRPr="0038447A">
              <w:rPr>
                <w:rFonts w:asciiTheme="minorHAnsi" w:eastAsiaTheme="minorEastAsia" w:hAnsiTheme="minorHAnsi"/>
                <w:noProof/>
                <w:sz w:val="26"/>
                <w:szCs w:val="26"/>
                <w:lang w:eastAsia="lv-LV"/>
              </w:rPr>
              <w:tab/>
            </w:r>
            <w:r w:rsidR="00460E56" w:rsidRPr="0038447A">
              <w:rPr>
                <w:rStyle w:val="Hyperlink"/>
                <w:noProof/>
                <w:sz w:val="26"/>
                <w:szCs w:val="26"/>
              </w:rPr>
              <w:t>VISPĀRĪGĀ DAĻA</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_Toc500150875 \h </w:instrText>
            </w:r>
            <w:r w:rsidR="00460E56" w:rsidRPr="0038447A">
              <w:rPr>
                <w:noProof/>
                <w:webHidden/>
                <w:sz w:val="26"/>
                <w:szCs w:val="26"/>
              </w:rPr>
            </w:r>
            <w:r w:rsidR="00460E56" w:rsidRPr="0038447A">
              <w:rPr>
                <w:noProof/>
                <w:webHidden/>
                <w:sz w:val="26"/>
                <w:szCs w:val="26"/>
              </w:rPr>
              <w:fldChar w:fldCharType="separate"/>
            </w:r>
            <w:r w:rsidR="007A18A3">
              <w:rPr>
                <w:noProof/>
                <w:webHidden/>
                <w:sz w:val="26"/>
                <w:szCs w:val="26"/>
              </w:rPr>
              <w:t>4</w:t>
            </w:r>
            <w:r w:rsidR="00460E56" w:rsidRPr="0038447A">
              <w:rPr>
                <w:noProof/>
                <w:webHidden/>
                <w:sz w:val="26"/>
                <w:szCs w:val="26"/>
              </w:rPr>
              <w:fldChar w:fldCharType="end"/>
            </w:r>
          </w:hyperlink>
        </w:p>
        <w:p w14:paraId="42D0F1F3" w14:textId="275D3C26" w:rsidR="00460E56" w:rsidRPr="0038447A" w:rsidRDefault="007A18A3" w:rsidP="00C11763">
          <w:pPr>
            <w:pStyle w:val="TOC2"/>
            <w:tabs>
              <w:tab w:val="clear" w:pos="2268"/>
              <w:tab w:val="left" w:pos="1134"/>
            </w:tabs>
            <w:ind w:firstLine="347"/>
            <w:rPr>
              <w:rFonts w:asciiTheme="minorHAnsi" w:eastAsiaTheme="minorEastAsia" w:hAnsiTheme="minorHAnsi"/>
              <w:noProof/>
              <w:sz w:val="26"/>
              <w:szCs w:val="26"/>
              <w:lang w:eastAsia="lv-LV"/>
            </w:rPr>
          </w:pPr>
          <w:hyperlink w:anchor="_Toc500150876" w:history="1">
            <w:r w:rsidR="00460E56" w:rsidRPr="0038447A">
              <w:rPr>
                <w:rStyle w:val="Hyperlink"/>
                <w:noProof/>
                <w:sz w:val="26"/>
                <w:szCs w:val="26"/>
              </w:rPr>
              <w:t>1.1.</w:t>
            </w:r>
            <w:r w:rsidR="00460E56" w:rsidRPr="0038447A">
              <w:rPr>
                <w:rFonts w:asciiTheme="minorHAnsi" w:eastAsiaTheme="minorEastAsia" w:hAnsiTheme="minorHAnsi"/>
                <w:noProof/>
                <w:sz w:val="26"/>
                <w:szCs w:val="26"/>
                <w:lang w:eastAsia="lv-LV"/>
              </w:rPr>
              <w:tab/>
            </w:r>
            <w:r w:rsidR="00460E56" w:rsidRPr="0038447A">
              <w:rPr>
                <w:rStyle w:val="Hyperlink"/>
                <w:noProof/>
                <w:sz w:val="26"/>
                <w:szCs w:val="26"/>
              </w:rPr>
              <w:t>Biroja darbības tiesiskais pamats</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_Toc500150876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4</w:t>
            </w:r>
            <w:r w:rsidR="00460E56" w:rsidRPr="0038447A">
              <w:rPr>
                <w:noProof/>
                <w:webHidden/>
                <w:sz w:val="26"/>
                <w:szCs w:val="26"/>
              </w:rPr>
              <w:fldChar w:fldCharType="end"/>
            </w:r>
          </w:hyperlink>
        </w:p>
        <w:p w14:paraId="42D0F1F4" w14:textId="2E05002A" w:rsidR="00460E56" w:rsidRPr="0038447A" w:rsidRDefault="007A18A3" w:rsidP="00C11763">
          <w:pPr>
            <w:pStyle w:val="TOC2"/>
            <w:tabs>
              <w:tab w:val="clear" w:pos="2268"/>
              <w:tab w:val="left" w:pos="1134"/>
            </w:tabs>
            <w:ind w:firstLine="347"/>
            <w:rPr>
              <w:rFonts w:asciiTheme="minorHAnsi" w:eastAsiaTheme="minorEastAsia" w:hAnsiTheme="minorHAnsi"/>
              <w:noProof/>
              <w:sz w:val="26"/>
              <w:szCs w:val="26"/>
              <w:lang w:eastAsia="lv-LV"/>
            </w:rPr>
          </w:pPr>
          <w:hyperlink w:anchor="_Toc500150877" w:history="1">
            <w:r w:rsidR="00460E56" w:rsidRPr="0038447A">
              <w:rPr>
                <w:rStyle w:val="Hyperlink"/>
                <w:rFonts w:eastAsiaTheme="majorEastAsia" w:cstheme="majorBidi"/>
                <w:bCs/>
                <w:noProof/>
                <w:sz w:val="26"/>
                <w:szCs w:val="26"/>
              </w:rPr>
              <w:t>1.2.</w:t>
            </w:r>
            <w:r w:rsidR="00460E56" w:rsidRPr="0038447A">
              <w:rPr>
                <w:rFonts w:asciiTheme="minorHAnsi" w:eastAsiaTheme="minorEastAsia" w:hAnsiTheme="minorHAnsi"/>
                <w:noProof/>
                <w:sz w:val="26"/>
                <w:szCs w:val="26"/>
                <w:lang w:eastAsia="lv-LV"/>
              </w:rPr>
              <w:tab/>
            </w:r>
            <w:r w:rsidR="00460E56" w:rsidRPr="0038447A">
              <w:rPr>
                <w:rStyle w:val="Hyperlink"/>
                <w:rFonts w:eastAsiaTheme="majorEastAsia" w:cstheme="majorBidi"/>
                <w:bCs/>
                <w:noProof/>
                <w:sz w:val="26"/>
                <w:szCs w:val="26"/>
              </w:rPr>
              <w:t>Vispārīgs esošās situācijas apraksts</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_Toc500150877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4</w:t>
            </w:r>
            <w:r w:rsidR="00460E56" w:rsidRPr="0038447A">
              <w:rPr>
                <w:noProof/>
                <w:webHidden/>
                <w:sz w:val="26"/>
                <w:szCs w:val="26"/>
              </w:rPr>
              <w:fldChar w:fldCharType="end"/>
            </w:r>
          </w:hyperlink>
        </w:p>
        <w:p w14:paraId="42D0F1F5" w14:textId="1A3C6F98" w:rsidR="00460E56" w:rsidRPr="0038447A" w:rsidRDefault="007A18A3" w:rsidP="00C11763">
          <w:pPr>
            <w:pStyle w:val="TOC2"/>
            <w:tabs>
              <w:tab w:val="clear" w:pos="2268"/>
              <w:tab w:val="left" w:pos="1134"/>
            </w:tabs>
            <w:ind w:left="567" w:firstLine="0"/>
            <w:rPr>
              <w:rFonts w:asciiTheme="minorHAnsi" w:eastAsiaTheme="minorEastAsia" w:hAnsiTheme="minorHAnsi"/>
              <w:noProof/>
              <w:sz w:val="26"/>
              <w:szCs w:val="26"/>
              <w:lang w:eastAsia="lv-LV"/>
            </w:rPr>
          </w:pPr>
          <w:hyperlink w:anchor="_Toc500150881" w:history="1">
            <w:r w:rsidR="00460E56" w:rsidRPr="0038447A">
              <w:rPr>
                <w:rStyle w:val="Hyperlink"/>
                <w:rFonts w:eastAsiaTheme="majorEastAsia" w:cstheme="majorBidi"/>
                <w:bCs/>
                <w:noProof/>
                <w:sz w:val="26"/>
                <w:szCs w:val="26"/>
              </w:rPr>
              <w:t>1.3.</w:t>
            </w:r>
            <w:r w:rsidR="00460E56" w:rsidRPr="0038447A">
              <w:rPr>
                <w:rFonts w:asciiTheme="minorHAnsi" w:eastAsiaTheme="minorEastAsia" w:hAnsiTheme="minorHAnsi"/>
                <w:noProof/>
                <w:sz w:val="26"/>
                <w:szCs w:val="26"/>
                <w:lang w:eastAsia="lv-LV"/>
              </w:rPr>
              <w:tab/>
            </w:r>
            <w:r w:rsidR="00460E56" w:rsidRPr="0038447A">
              <w:rPr>
                <w:rStyle w:val="Hyperlink"/>
                <w:rFonts w:eastAsiaTheme="majorEastAsia" w:cstheme="majorBidi"/>
                <w:bCs/>
                <w:noProof/>
                <w:sz w:val="26"/>
                <w:szCs w:val="26"/>
              </w:rPr>
              <w:t>Biroja p</w:t>
            </w:r>
            <w:r w:rsidR="004B23CE">
              <w:rPr>
                <w:rStyle w:val="Hyperlink"/>
                <w:rFonts w:eastAsiaTheme="majorEastAsia" w:cstheme="majorBidi"/>
                <w:bCs/>
                <w:noProof/>
                <w:sz w:val="26"/>
                <w:szCs w:val="26"/>
              </w:rPr>
              <w:t xml:space="preserve">rioritātes </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_Toc500150881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7</w:t>
            </w:r>
            <w:r w:rsidR="00460E56" w:rsidRPr="0038447A">
              <w:rPr>
                <w:noProof/>
                <w:webHidden/>
                <w:sz w:val="26"/>
                <w:szCs w:val="26"/>
              </w:rPr>
              <w:fldChar w:fldCharType="end"/>
            </w:r>
          </w:hyperlink>
        </w:p>
        <w:p w14:paraId="42D0F1F6" w14:textId="4652F764" w:rsidR="00460E56" w:rsidRPr="0038447A" w:rsidRDefault="007A18A3" w:rsidP="00C11763">
          <w:pPr>
            <w:pStyle w:val="TOC2"/>
            <w:tabs>
              <w:tab w:val="clear" w:pos="2268"/>
              <w:tab w:val="left" w:pos="1134"/>
            </w:tabs>
            <w:ind w:left="567" w:firstLine="0"/>
            <w:rPr>
              <w:rFonts w:asciiTheme="minorHAnsi" w:eastAsiaTheme="minorEastAsia" w:hAnsiTheme="minorHAnsi"/>
              <w:noProof/>
              <w:sz w:val="26"/>
              <w:szCs w:val="26"/>
              <w:lang w:eastAsia="lv-LV"/>
            </w:rPr>
          </w:pPr>
          <w:hyperlink w:anchor="_Toc500150882" w:history="1">
            <w:r w:rsidR="00460E56" w:rsidRPr="0038447A">
              <w:rPr>
                <w:rStyle w:val="Hyperlink"/>
                <w:noProof/>
                <w:sz w:val="26"/>
                <w:szCs w:val="26"/>
              </w:rPr>
              <w:t>1.4.</w:t>
            </w:r>
            <w:r w:rsidR="00460E56" w:rsidRPr="0038447A">
              <w:rPr>
                <w:rFonts w:asciiTheme="minorHAnsi" w:eastAsiaTheme="minorEastAsia" w:hAnsiTheme="minorHAnsi"/>
                <w:noProof/>
                <w:sz w:val="26"/>
                <w:szCs w:val="26"/>
                <w:lang w:eastAsia="lv-LV"/>
              </w:rPr>
              <w:tab/>
            </w:r>
            <w:r w:rsidR="00460E56" w:rsidRPr="0038447A">
              <w:rPr>
                <w:rStyle w:val="Hyperlink"/>
                <w:noProof/>
                <w:sz w:val="26"/>
                <w:szCs w:val="26"/>
              </w:rPr>
              <w:t>Biroja īstenotie darbības virzieni un to apraksts</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_Toc500150882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8</w:t>
            </w:r>
            <w:r w:rsidR="00460E56" w:rsidRPr="0038447A">
              <w:rPr>
                <w:noProof/>
                <w:webHidden/>
                <w:sz w:val="26"/>
                <w:szCs w:val="26"/>
              </w:rPr>
              <w:fldChar w:fldCharType="end"/>
            </w:r>
          </w:hyperlink>
        </w:p>
        <w:p w14:paraId="42D0F1F7" w14:textId="5910B229" w:rsidR="00460E56" w:rsidRPr="0038447A" w:rsidRDefault="007A18A3" w:rsidP="00C11763">
          <w:pPr>
            <w:pStyle w:val="TOC2"/>
            <w:tabs>
              <w:tab w:val="clear" w:pos="2268"/>
              <w:tab w:val="left" w:pos="1560"/>
            </w:tabs>
            <w:ind w:left="851" w:firstLine="0"/>
            <w:rPr>
              <w:rFonts w:asciiTheme="minorHAnsi" w:eastAsiaTheme="minorEastAsia" w:hAnsiTheme="minorHAnsi"/>
              <w:noProof/>
              <w:sz w:val="26"/>
              <w:szCs w:val="26"/>
              <w:lang w:eastAsia="lv-LV"/>
            </w:rPr>
          </w:pPr>
          <w:hyperlink w:anchor="_Toc500150883" w:history="1">
            <w:r w:rsidR="00460E56" w:rsidRPr="0038447A">
              <w:rPr>
                <w:rStyle w:val="Hyperlink"/>
                <w:noProof/>
                <w:sz w:val="26"/>
                <w:szCs w:val="26"/>
              </w:rPr>
              <w:t>1.4.1. Noziedzīgu nodarījumu atklāšana un izmeklēšana</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_Toc500150883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8</w:t>
            </w:r>
            <w:r w:rsidR="00460E56" w:rsidRPr="0038447A">
              <w:rPr>
                <w:noProof/>
                <w:webHidden/>
                <w:sz w:val="26"/>
                <w:szCs w:val="26"/>
              </w:rPr>
              <w:fldChar w:fldCharType="end"/>
            </w:r>
          </w:hyperlink>
        </w:p>
        <w:p w14:paraId="42D0F1F8" w14:textId="520F888E" w:rsidR="00460E56" w:rsidRPr="0038447A" w:rsidRDefault="007A18A3" w:rsidP="00C11763">
          <w:pPr>
            <w:pStyle w:val="TOC2"/>
            <w:tabs>
              <w:tab w:val="clear" w:pos="2268"/>
              <w:tab w:val="left" w:pos="1560"/>
            </w:tabs>
            <w:ind w:left="851" w:firstLine="0"/>
            <w:rPr>
              <w:rFonts w:asciiTheme="minorHAnsi" w:eastAsiaTheme="minorEastAsia" w:hAnsiTheme="minorHAnsi"/>
              <w:noProof/>
              <w:sz w:val="26"/>
              <w:szCs w:val="26"/>
              <w:lang w:eastAsia="lv-LV"/>
            </w:rPr>
          </w:pPr>
          <w:hyperlink w:anchor="_Toc500150884" w:history="1">
            <w:r w:rsidR="00460E56" w:rsidRPr="0038447A">
              <w:rPr>
                <w:rStyle w:val="Hyperlink"/>
                <w:rFonts w:eastAsiaTheme="majorEastAsia" w:cstheme="majorBidi"/>
                <w:bCs/>
                <w:noProof/>
                <w:sz w:val="26"/>
                <w:szCs w:val="26"/>
              </w:rPr>
              <w:t>1.4.2.</w:t>
            </w:r>
            <w:r w:rsidR="00460E56" w:rsidRPr="0038447A">
              <w:rPr>
                <w:rFonts w:asciiTheme="minorHAnsi" w:eastAsiaTheme="minorEastAsia" w:hAnsiTheme="minorHAnsi"/>
                <w:noProof/>
                <w:sz w:val="26"/>
                <w:szCs w:val="26"/>
                <w:lang w:eastAsia="lv-LV"/>
              </w:rPr>
              <w:tab/>
            </w:r>
            <w:r w:rsidR="00460E56" w:rsidRPr="0038447A">
              <w:rPr>
                <w:rStyle w:val="Hyperlink"/>
                <w:rFonts w:eastAsiaTheme="majorEastAsia" w:cstheme="majorBidi"/>
                <w:bCs/>
                <w:noProof/>
                <w:sz w:val="26"/>
                <w:szCs w:val="26"/>
              </w:rPr>
              <w:t>Valsts amatpersonu darbības kontrole</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_Toc500150884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11</w:t>
            </w:r>
            <w:r w:rsidR="00460E56" w:rsidRPr="0038447A">
              <w:rPr>
                <w:noProof/>
                <w:webHidden/>
                <w:sz w:val="26"/>
                <w:szCs w:val="26"/>
              </w:rPr>
              <w:fldChar w:fldCharType="end"/>
            </w:r>
          </w:hyperlink>
        </w:p>
        <w:p w14:paraId="42D0F1F9" w14:textId="65D1E2F5" w:rsidR="00460E56" w:rsidRPr="0038447A" w:rsidRDefault="007A18A3" w:rsidP="00C11763">
          <w:pPr>
            <w:pStyle w:val="TOC2"/>
            <w:tabs>
              <w:tab w:val="clear" w:pos="2268"/>
              <w:tab w:val="left" w:pos="1560"/>
            </w:tabs>
            <w:ind w:left="851" w:firstLine="0"/>
            <w:rPr>
              <w:rFonts w:asciiTheme="minorHAnsi" w:eastAsiaTheme="minorEastAsia" w:hAnsiTheme="minorHAnsi"/>
              <w:noProof/>
              <w:sz w:val="26"/>
              <w:szCs w:val="26"/>
              <w:lang w:eastAsia="lv-LV"/>
            </w:rPr>
          </w:pPr>
          <w:hyperlink w:anchor="_Toc500150885" w:history="1">
            <w:r w:rsidR="00460E56" w:rsidRPr="0038447A">
              <w:rPr>
                <w:rStyle w:val="Hyperlink"/>
                <w:noProof/>
                <w:sz w:val="26"/>
                <w:szCs w:val="26"/>
              </w:rPr>
              <w:t>1.4.3.</w:t>
            </w:r>
            <w:r w:rsidR="00460E56" w:rsidRPr="0038447A">
              <w:rPr>
                <w:rFonts w:asciiTheme="minorHAnsi" w:eastAsiaTheme="minorEastAsia" w:hAnsiTheme="minorHAnsi"/>
                <w:noProof/>
                <w:sz w:val="26"/>
                <w:szCs w:val="26"/>
                <w:lang w:eastAsia="lv-LV"/>
              </w:rPr>
              <w:tab/>
            </w:r>
            <w:r w:rsidR="00460E56" w:rsidRPr="0038447A">
              <w:rPr>
                <w:rStyle w:val="Hyperlink"/>
                <w:noProof/>
                <w:sz w:val="26"/>
                <w:szCs w:val="26"/>
              </w:rPr>
              <w:t>Politisko partiju finansēšanas kontrole un aģitācijas uzraudzība</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_Toc500150885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14</w:t>
            </w:r>
            <w:r w:rsidR="00460E56" w:rsidRPr="0038447A">
              <w:rPr>
                <w:noProof/>
                <w:webHidden/>
                <w:sz w:val="26"/>
                <w:szCs w:val="26"/>
              </w:rPr>
              <w:fldChar w:fldCharType="end"/>
            </w:r>
          </w:hyperlink>
        </w:p>
        <w:p w14:paraId="42D0F1FA" w14:textId="5CA8A154" w:rsidR="00460E56" w:rsidRPr="0038447A" w:rsidRDefault="007A18A3" w:rsidP="00C11763">
          <w:pPr>
            <w:pStyle w:val="TOC2"/>
            <w:tabs>
              <w:tab w:val="clear" w:pos="2268"/>
              <w:tab w:val="left" w:pos="1560"/>
            </w:tabs>
            <w:ind w:left="851" w:firstLine="0"/>
            <w:rPr>
              <w:rFonts w:asciiTheme="minorHAnsi" w:eastAsiaTheme="minorEastAsia" w:hAnsiTheme="minorHAnsi"/>
              <w:noProof/>
              <w:sz w:val="26"/>
              <w:szCs w:val="26"/>
              <w:lang w:eastAsia="lv-LV"/>
            </w:rPr>
          </w:pPr>
          <w:hyperlink w:anchor="_Toc500150886" w:history="1">
            <w:r w:rsidR="00460E56" w:rsidRPr="0038447A">
              <w:rPr>
                <w:rStyle w:val="Hyperlink"/>
                <w:rFonts w:eastAsiaTheme="majorEastAsia" w:cstheme="majorBidi"/>
                <w:bCs/>
                <w:noProof/>
                <w:sz w:val="26"/>
                <w:szCs w:val="26"/>
              </w:rPr>
              <w:t>1.4.4.</w:t>
            </w:r>
            <w:r w:rsidR="00460E56" w:rsidRPr="0038447A">
              <w:rPr>
                <w:rFonts w:asciiTheme="minorHAnsi" w:eastAsiaTheme="minorEastAsia" w:hAnsiTheme="minorHAnsi"/>
                <w:noProof/>
                <w:sz w:val="26"/>
                <w:szCs w:val="26"/>
                <w:lang w:eastAsia="lv-LV"/>
              </w:rPr>
              <w:tab/>
            </w:r>
            <w:r w:rsidR="00460E56" w:rsidRPr="0038447A">
              <w:rPr>
                <w:rStyle w:val="Hyperlink"/>
                <w:rFonts w:eastAsiaTheme="majorEastAsia" w:cstheme="majorBidi"/>
                <w:bCs/>
                <w:noProof/>
                <w:sz w:val="26"/>
                <w:szCs w:val="26"/>
              </w:rPr>
              <w:t>Sabiedrības informēšana par pretkorupcijas jautājumiem</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_Toc500150886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16</w:t>
            </w:r>
            <w:r w:rsidR="00460E56" w:rsidRPr="0038447A">
              <w:rPr>
                <w:noProof/>
                <w:webHidden/>
                <w:sz w:val="26"/>
                <w:szCs w:val="26"/>
              </w:rPr>
              <w:fldChar w:fldCharType="end"/>
            </w:r>
          </w:hyperlink>
        </w:p>
        <w:p w14:paraId="42D0F1FB" w14:textId="185E0C2E" w:rsidR="00460E56" w:rsidRPr="0038447A" w:rsidRDefault="007A18A3" w:rsidP="00C11763">
          <w:pPr>
            <w:pStyle w:val="TOC1"/>
            <w:tabs>
              <w:tab w:val="clear" w:pos="1843"/>
              <w:tab w:val="left" w:pos="1560"/>
            </w:tabs>
            <w:ind w:left="851"/>
            <w:rPr>
              <w:rFonts w:asciiTheme="minorHAnsi" w:eastAsiaTheme="minorEastAsia" w:hAnsiTheme="minorHAnsi"/>
              <w:noProof/>
              <w:sz w:val="26"/>
              <w:szCs w:val="26"/>
              <w:lang w:eastAsia="lv-LV"/>
            </w:rPr>
          </w:pPr>
          <w:hyperlink w:anchor="_Toc500150887" w:history="1">
            <w:r w:rsidR="00460E56" w:rsidRPr="0038447A">
              <w:rPr>
                <w:rStyle w:val="Hyperlink"/>
                <w:noProof/>
                <w:sz w:val="26"/>
                <w:szCs w:val="26"/>
              </w:rPr>
              <w:t>1.4.5.</w:t>
            </w:r>
            <w:r w:rsidR="00460E56" w:rsidRPr="0038447A">
              <w:rPr>
                <w:rFonts w:asciiTheme="minorHAnsi" w:eastAsiaTheme="minorEastAsia" w:hAnsiTheme="minorHAnsi"/>
                <w:noProof/>
                <w:sz w:val="26"/>
                <w:szCs w:val="26"/>
                <w:lang w:eastAsia="lv-LV"/>
              </w:rPr>
              <w:tab/>
            </w:r>
            <w:r w:rsidR="00460E56" w:rsidRPr="0038447A">
              <w:rPr>
                <w:rStyle w:val="Hyperlink"/>
                <w:noProof/>
                <w:sz w:val="26"/>
                <w:szCs w:val="26"/>
              </w:rPr>
              <w:t>Pretkorupcijas politikas plānošana un starptautiskā sadarbība</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_Toc500150887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19</w:t>
            </w:r>
            <w:r w:rsidR="00460E56" w:rsidRPr="0038447A">
              <w:rPr>
                <w:noProof/>
                <w:webHidden/>
                <w:sz w:val="26"/>
                <w:szCs w:val="26"/>
              </w:rPr>
              <w:fldChar w:fldCharType="end"/>
            </w:r>
          </w:hyperlink>
        </w:p>
        <w:p w14:paraId="42D0F1FC" w14:textId="627AB8CF" w:rsidR="00460E56" w:rsidRPr="0038447A" w:rsidRDefault="007A18A3" w:rsidP="00C11763">
          <w:pPr>
            <w:pStyle w:val="TOC2"/>
            <w:tabs>
              <w:tab w:val="clear" w:pos="2268"/>
              <w:tab w:val="left" w:pos="1134"/>
            </w:tabs>
            <w:ind w:left="567" w:firstLine="0"/>
            <w:rPr>
              <w:rFonts w:asciiTheme="minorHAnsi" w:eastAsiaTheme="minorEastAsia" w:hAnsiTheme="minorHAnsi"/>
              <w:noProof/>
              <w:sz w:val="26"/>
              <w:szCs w:val="26"/>
              <w:lang w:eastAsia="lv-LV"/>
            </w:rPr>
          </w:pPr>
          <w:hyperlink w:anchor="_Toc500150889" w:history="1">
            <w:r w:rsidR="00460E56" w:rsidRPr="0038447A">
              <w:rPr>
                <w:rStyle w:val="Hyperlink"/>
                <w:noProof/>
                <w:sz w:val="26"/>
                <w:szCs w:val="26"/>
              </w:rPr>
              <w:t>1.5.</w:t>
            </w:r>
            <w:r w:rsidR="00460E56" w:rsidRPr="0038447A">
              <w:rPr>
                <w:rFonts w:asciiTheme="minorHAnsi" w:eastAsiaTheme="minorEastAsia" w:hAnsiTheme="minorHAnsi"/>
                <w:noProof/>
                <w:sz w:val="26"/>
                <w:szCs w:val="26"/>
                <w:lang w:eastAsia="lv-LV"/>
              </w:rPr>
              <w:tab/>
            </w:r>
            <w:r w:rsidR="00460E56" w:rsidRPr="0038447A">
              <w:rPr>
                <w:rStyle w:val="Hyperlink"/>
                <w:noProof/>
                <w:sz w:val="26"/>
                <w:szCs w:val="26"/>
              </w:rPr>
              <w:t>Biroja darbības spēju izvērtējums</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_Toc500150889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22</w:t>
            </w:r>
            <w:r w:rsidR="00460E56" w:rsidRPr="0038447A">
              <w:rPr>
                <w:noProof/>
                <w:webHidden/>
                <w:sz w:val="26"/>
                <w:szCs w:val="26"/>
              </w:rPr>
              <w:fldChar w:fldCharType="end"/>
            </w:r>
          </w:hyperlink>
        </w:p>
        <w:p w14:paraId="42D0F1FD" w14:textId="3458A921" w:rsidR="00460E56" w:rsidRPr="0038447A" w:rsidRDefault="007A18A3" w:rsidP="00C11763">
          <w:pPr>
            <w:pStyle w:val="TOC2"/>
            <w:tabs>
              <w:tab w:val="clear" w:pos="2268"/>
              <w:tab w:val="left" w:pos="1560"/>
            </w:tabs>
            <w:ind w:left="851" w:firstLine="0"/>
            <w:rPr>
              <w:rFonts w:asciiTheme="minorHAnsi" w:eastAsiaTheme="minorEastAsia" w:hAnsiTheme="minorHAnsi"/>
              <w:noProof/>
              <w:sz w:val="26"/>
              <w:szCs w:val="26"/>
              <w:lang w:eastAsia="lv-LV"/>
            </w:rPr>
          </w:pPr>
          <w:hyperlink w:anchor="_Toc500150890" w:history="1">
            <w:r w:rsidR="00CB2A22">
              <w:rPr>
                <w:rStyle w:val="Hyperlink"/>
                <w:noProof/>
                <w:sz w:val="26"/>
                <w:szCs w:val="26"/>
              </w:rPr>
              <w:t>1.5.1.</w:t>
            </w:r>
            <w:r w:rsidR="00CB2A22">
              <w:rPr>
                <w:rStyle w:val="Hyperlink"/>
                <w:noProof/>
                <w:sz w:val="26"/>
                <w:szCs w:val="26"/>
              </w:rPr>
              <w:tab/>
            </w:r>
            <w:r w:rsidR="00460E56" w:rsidRPr="0038447A">
              <w:rPr>
                <w:rStyle w:val="Hyperlink"/>
                <w:noProof/>
                <w:sz w:val="26"/>
                <w:szCs w:val="26"/>
              </w:rPr>
              <w:t>Personāla vadība</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_Toc500150890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22</w:t>
            </w:r>
            <w:r w:rsidR="00460E56" w:rsidRPr="0038447A">
              <w:rPr>
                <w:noProof/>
                <w:webHidden/>
                <w:sz w:val="26"/>
                <w:szCs w:val="26"/>
              </w:rPr>
              <w:fldChar w:fldCharType="end"/>
            </w:r>
          </w:hyperlink>
        </w:p>
        <w:p w14:paraId="42D0F1FE" w14:textId="38D3D5F3" w:rsidR="00460E56" w:rsidRPr="0038447A" w:rsidRDefault="007A18A3" w:rsidP="00C11763">
          <w:pPr>
            <w:pStyle w:val="TOC2"/>
            <w:tabs>
              <w:tab w:val="clear" w:pos="2268"/>
              <w:tab w:val="left" w:pos="1560"/>
            </w:tabs>
            <w:ind w:left="851" w:firstLine="0"/>
            <w:rPr>
              <w:rFonts w:asciiTheme="minorHAnsi" w:eastAsiaTheme="minorEastAsia" w:hAnsiTheme="minorHAnsi"/>
              <w:noProof/>
              <w:sz w:val="26"/>
              <w:szCs w:val="26"/>
              <w:lang w:eastAsia="lv-LV"/>
            </w:rPr>
          </w:pPr>
          <w:hyperlink w:anchor="_Toc500150891" w:history="1">
            <w:r w:rsidR="00460E56" w:rsidRPr="0038447A">
              <w:rPr>
                <w:rStyle w:val="Hyperlink"/>
                <w:noProof/>
                <w:sz w:val="26"/>
                <w:szCs w:val="26"/>
              </w:rPr>
              <w:t>1.5.2.</w:t>
            </w:r>
            <w:r w:rsidR="00460E56" w:rsidRPr="0038447A">
              <w:rPr>
                <w:rFonts w:asciiTheme="minorHAnsi" w:eastAsiaTheme="minorEastAsia" w:hAnsiTheme="minorHAnsi"/>
                <w:noProof/>
                <w:sz w:val="26"/>
                <w:szCs w:val="26"/>
                <w:lang w:eastAsia="lv-LV"/>
              </w:rPr>
              <w:tab/>
            </w:r>
            <w:r w:rsidR="00460E56" w:rsidRPr="0038447A">
              <w:rPr>
                <w:rStyle w:val="Hyperlink"/>
                <w:noProof/>
                <w:sz w:val="26"/>
                <w:szCs w:val="26"/>
              </w:rPr>
              <w:t>Darba vide</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_Toc500150891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24</w:t>
            </w:r>
            <w:r w:rsidR="00460E56" w:rsidRPr="0038447A">
              <w:rPr>
                <w:noProof/>
                <w:webHidden/>
                <w:sz w:val="26"/>
                <w:szCs w:val="26"/>
              </w:rPr>
              <w:fldChar w:fldCharType="end"/>
            </w:r>
          </w:hyperlink>
        </w:p>
        <w:p w14:paraId="42D0F1FF" w14:textId="37B3D7D1" w:rsidR="00460E56" w:rsidRPr="0038447A" w:rsidRDefault="007A18A3" w:rsidP="00C11763">
          <w:pPr>
            <w:pStyle w:val="TOC2"/>
            <w:tabs>
              <w:tab w:val="clear" w:pos="2268"/>
              <w:tab w:val="left" w:pos="1560"/>
            </w:tabs>
            <w:ind w:left="851" w:firstLine="0"/>
            <w:rPr>
              <w:rFonts w:asciiTheme="minorHAnsi" w:eastAsiaTheme="minorEastAsia" w:hAnsiTheme="minorHAnsi"/>
              <w:noProof/>
              <w:sz w:val="26"/>
              <w:szCs w:val="26"/>
              <w:lang w:eastAsia="lv-LV"/>
            </w:rPr>
          </w:pPr>
          <w:hyperlink w:anchor="_Toc500150892" w:history="1">
            <w:r w:rsidR="00460E56" w:rsidRPr="0038447A">
              <w:rPr>
                <w:rStyle w:val="Hyperlink"/>
                <w:noProof/>
                <w:sz w:val="26"/>
                <w:szCs w:val="26"/>
              </w:rPr>
              <w:t>1.5.3.</w:t>
            </w:r>
            <w:r w:rsidR="00460E56" w:rsidRPr="0038447A">
              <w:rPr>
                <w:rFonts w:asciiTheme="minorHAnsi" w:eastAsiaTheme="minorEastAsia" w:hAnsiTheme="minorHAnsi"/>
                <w:noProof/>
                <w:sz w:val="26"/>
                <w:szCs w:val="26"/>
                <w:lang w:eastAsia="lv-LV"/>
              </w:rPr>
              <w:tab/>
            </w:r>
            <w:r w:rsidR="00460E56" w:rsidRPr="0038447A">
              <w:rPr>
                <w:rStyle w:val="Hyperlink"/>
                <w:noProof/>
                <w:sz w:val="26"/>
                <w:szCs w:val="26"/>
              </w:rPr>
              <w:t>Informācijas aprite un drošība</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_Toc500150892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24</w:t>
            </w:r>
            <w:r w:rsidR="00460E56" w:rsidRPr="0038447A">
              <w:rPr>
                <w:noProof/>
                <w:webHidden/>
                <w:sz w:val="26"/>
                <w:szCs w:val="26"/>
              </w:rPr>
              <w:fldChar w:fldCharType="end"/>
            </w:r>
          </w:hyperlink>
        </w:p>
        <w:p w14:paraId="42D0F200" w14:textId="7073024F" w:rsidR="00460E56" w:rsidRPr="0038447A" w:rsidRDefault="007A18A3" w:rsidP="00C11763">
          <w:pPr>
            <w:pStyle w:val="TOC2"/>
            <w:tabs>
              <w:tab w:val="clear" w:pos="2268"/>
              <w:tab w:val="left" w:pos="1560"/>
            </w:tabs>
            <w:ind w:left="851" w:firstLine="0"/>
            <w:rPr>
              <w:rFonts w:asciiTheme="minorHAnsi" w:eastAsiaTheme="minorEastAsia" w:hAnsiTheme="minorHAnsi"/>
              <w:noProof/>
              <w:sz w:val="26"/>
              <w:szCs w:val="26"/>
              <w:lang w:eastAsia="lv-LV"/>
            </w:rPr>
          </w:pPr>
          <w:hyperlink w:anchor="_Toc500150893" w:history="1">
            <w:r w:rsidR="00460E56" w:rsidRPr="0038447A">
              <w:rPr>
                <w:rStyle w:val="Hyperlink"/>
                <w:noProof/>
                <w:sz w:val="26"/>
                <w:szCs w:val="26"/>
              </w:rPr>
              <w:t>1.5.4.</w:t>
            </w:r>
            <w:r w:rsidR="00460E56" w:rsidRPr="0038447A">
              <w:rPr>
                <w:rFonts w:asciiTheme="minorHAnsi" w:eastAsiaTheme="minorEastAsia" w:hAnsiTheme="minorHAnsi"/>
                <w:noProof/>
                <w:sz w:val="26"/>
                <w:szCs w:val="26"/>
                <w:lang w:eastAsia="lv-LV"/>
              </w:rPr>
              <w:tab/>
            </w:r>
            <w:r w:rsidR="00460E56" w:rsidRPr="0038447A">
              <w:rPr>
                <w:rStyle w:val="Hyperlink"/>
                <w:noProof/>
                <w:sz w:val="26"/>
                <w:szCs w:val="26"/>
              </w:rPr>
              <w:t>Biroja organizatoriskās struktūras un iekšējie procesi</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_Toc500150893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24</w:t>
            </w:r>
            <w:r w:rsidR="00460E56" w:rsidRPr="0038447A">
              <w:rPr>
                <w:noProof/>
                <w:webHidden/>
                <w:sz w:val="26"/>
                <w:szCs w:val="26"/>
              </w:rPr>
              <w:fldChar w:fldCharType="end"/>
            </w:r>
          </w:hyperlink>
        </w:p>
        <w:p w14:paraId="42D0F201" w14:textId="506CE5F2" w:rsidR="00460E56" w:rsidRPr="0038447A" w:rsidRDefault="007A18A3" w:rsidP="00C11763">
          <w:pPr>
            <w:pStyle w:val="TOC1"/>
            <w:tabs>
              <w:tab w:val="clear" w:pos="709"/>
              <w:tab w:val="left" w:pos="426"/>
            </w:tabs>
            <w:ind w:left="142"/>
            <w:rPr>
              <w:rFonts w:asciiTheme="minorHAnsi" w:eastAsiaTheme="minorEastAsia" w:hAnsiTheme="minorHAnsi"/>
              <w:noProof/>
              <w:sz w:val="26"/>
              <w:szCs w:val="26"/>
              <w:lang w:eastAsia="lv-LV"/>
            </w:rPr>
          </w:pPr>
          <w:hyperlink w:anchor="_Toc500150894" w:history="1">
            <w:r w:rsidR="00460E56" w:rsidRPr="0038447A">
              <w:rPr>
                <w:rStyle w:val="Hyperlink"/>
                <w:noProof/>
                <w:sz w:val="26"/>
                <w:szCs w:val="26"/>
              </w:rPr>
              <w:t>2.</w:t>
            </w:r>
            <w:r w:rsidR="00460E56" w:rsidRPr="0038447A">
              <w:rPr>
                <w:rFonts w:asciiTheme="minorHAnsi" w:eastAsiaTheme="minorEastAsia" w:hAnsiTheme="minorHAnsi"/>
                <w:noProof/>
                <w:sz w:val="26"/>
                <w:szCs w:val="26"/>
                <w:lang w:eastAsia="lv-LV"/>
              </w:rPr>
              <w:tab/>
            </w:r>
            <w:r w:rsidR="00460E56" w:rsidRPr="0038447A">
              <w:rPr>
                <w:rStyle w:val="Hyperlink"/>
                <w:noProof/>
                <w:sz w:val="26"/>
                <w:szCs w:val="26"/>
              </w:rPr>
              <w:t>VALSTS BUDŽETA PROGRAMMAS</w:t>
            </w:r>
            <w:r w:rsidR="00460E56" w:rsidRPr="0038447A">
              <w:rPr>
                <w:noProof/>
                <w:webHidden/>
                <w:sz w:val="26"/>
                <w:szCs w:val="26"/>
              </w:rPr>
              <w:tab/>
            </w:r>
            <w:r w:rsidR="00460E56" w:rsidRPr="0038447A">
              <w:rPr>
                <w:noProof/>
                <w:webHidden/>
                <w:sz w:val="26"/>
                <w:szCs w:val="26"/>
              </w:rPr>
              <w:fldChar w:fldCharType="begin"/>
            </w:r>
            <w:r w:rsidR="00460E56" w:rsidRPr="0038447A">
              <w:rPr>
                <w:noProof/>
                <w:webHidden/>
                <w:sz w:val="26"/>
                <w:szCs w:val="26"/>
              </w:rPr>
              <w:instrText xml:space="preserve"> PAGEREF _Toc500150894 \h </w:instrText>
            </w:r>
            <w:r w:rsidR="00460E56" w:rsidRPr="0038447A">
              <w:rPr>
                <w:noProof/>
                <w:webHidden/>
                <w:sz w:val="26"/>
                <w:szCs w:val="26"/>
              </w:rPr>
            </w:r>
            <w:r w:rsidR="00460E56" w:rsidRPr="0038447A">
              <w:rPr>
                <w:noProof/>
                <w:webHidden/>
                <w:sz w:val="26"/>
                <w:szCs w:val="26"/>
              </w:rPr>
              <w:fldChar w:fldCharType="separate"/>
            </w:r>
            <w:r>
              <w:rPr>
                <w:noProof/>
                <w:webHidden/>
                <w:sz w:val="26"/>
                <w:szCs w:val="26"/>
              </w:rPr>
              <w:t>26</w:t>
            </w:r>
            <w:r w:rsidR="00460E56" w:rsidRPr="0038447A">
              <w:rPr>
                <w:noProof/>
                <w:webHidden/>
                <w:sz w:val="26"/>
                <w:szCs w:val="26"/>
              </w:rPr>
              <w:fldChar w:fldCharType="end"/>
            </w:r>
          </w:hyperlink>
        </w:p>
        <w:p w14:paraId="42D0F202" w14:textId="77777777" w:rsidR="00DE2B80" w:rsidRPr="0038447A" w:rsidRDefault="00DE2B80">
          <w:pPr>
            <w:rPr>
              <w:sz w:val="26"/>
              <w:szCs w:val="26"/>
            </w:rPr>
          </w:pPr>
          <w:r w:rsidRPr="0038447A">
            <w:rPr>
              <w:b/>
              <w:bCs/>
              <w:noProof/>
              <w:sz w:val="26"/>
              <w:szCs w:val="26"/>
            </w:rPr>
            <w:fldChar w:fldCharType="end"/>
          </w:r>
        </w:p>
      </w:sdtContent>
    </w:sdt>
    <w:p w14:paraId="42D0F203" w14:textId="77777777" w:rsidR="001F5D21" w:rsidRPr="0038447A" w:rsidRDefault="001F5D21" w:rsidP="001F5D21">
      <w:pPr>
        <w:rPr>
          <w:rFonts w:cs="Times New Roman"/>
          <w:sz w:val="26"/>
          <w:szCs w:val="26"/>
        </w:rPr>
      </w:pPr>
    </w:p>
    <w:p w14:paraId="42D0F204" w14:textId="77777777" w:rsidR="001F5D21" w:rsidRPr="0038447A" w:rsidRDefault="001F5D21" w:rsidP="001F5D21">
      <w:pPr>
        <w:rPr>
          <w:rFonts w:cs="Times New Roman"/>
          <w:sz w:val="26"/>
          <w:szCs w:val="26"/>
        </w:rPr>
      </w:pPr>
    </w:p>
    <w:p w14:paraId="42D0F205" w14:textId="77777777" w:rsidR="001F5D21" w:rsidRPr="0038447A" w:rsidRDefault="001F5D21" w:rsidP="001F5D21">
      <w:pPr>
        <w:rPr>
          <w:rFonts w:cs="Times New Roman"/>
          <w:sz w:val="26"/>
          <w:szCs w:val="26"/>
        </w:rPr>
      </w:pPr>
    </w:p>
    <w:p w14:paraId="42D0F206" w14:textId="77777777" w:rsidR="001F5D21" w:rsidRPr="0038447A" w:rsidRDefault="001F5D21" w:rsidP="001F5D21">
      <w:pPr>
        <w:rPr>
          <w:rFonts w:cs="Times New Roman"/>
          <w:sz w:val="26"/>
          <w:szCs w:val="26"/>
        </w:rPr>
      </w:pPr>
    </w:p>
    <w:p w14:paraId="42D0F207" w14:textId="77777777" w:rsidR="001F5D21" w:rsidRPr="0038447A" w:rsidRDefault="001F5D21" w:rsidP="001F5D21">
      <w:pPr>
        <w:rPr>
          <w:rFonts w:cs="Times New Roman"/>
          <w:sz w:val="26"/>
          <w:szCs w:val="26"/>
        </w:rPr>
      </w:pPr>
    </w:p>
    <w:p w14:paraId="42D0F208" w14:textId="77777777" w:rsidR="001F5D21" w:rsidRPr="0038447A" w:rsidRDefault="001F5D21" w:rsidP="001F5D21">
      <w:pPr>
        <w:rPr>
          <w:rFonts w:cs="Times New Roman"/>
          <w:sz w:val="26"/>
          <w:szCs w:val="26"/>
        </w:rPr>
      </w:pPr>
    </w:p>
    <w:p w14:paraId="42D0F209" w14:textId="77777777" w:rsidR="00866197" w:rsidRPr="0038447A" w:rsidRDefault="00866197" w:rsidP="00866197">
      <w:pPr>
        <w:pStyle w:val="NoSpacing"/>
        <w:rPr>
          <w:sz w:val="26"/>
          <w:szCs w:val="26"/>
        </w:rPr>
      </w:pPr>
    </w:p>
    <w:p w14:paraId="42D0F20A" w14:textId="77777777" w:rsidR="00866197" w:rsidRPr="0038447A" w:rsidRDefault="00866197" w:rsidP="00866197">
      <w:pPr>
        <w:pStyle w:val="NoSpacing"/>
        <w:rPr>
          <w:sz w:val="26"/>
          <w:szCs w:val="26"/>
        </w:rPr>
      </w:pPr>
    </w:p>
    <w:p w14:paraId="42D0F20B" w14:textId="77777777" w:rsidR="00866197" w:rsidRPr="0038447A" w:rsidRDefault="00866197" w:rsidP="00866197">
      <w:pPr>
        <w:pStyle w:val="NoSpacing"/>
        <w:rPr>
          <w:sz w:val="26"/>
          <w:szCs w:val="26"/>
        </w:rPr>
      </w:pPr>
    </w:p>
    <w:p w14:paraId="42D0F20C" w14:textId="77777777" w:rsidR="00866197" w:rsidRPr="0038447A" w:rsidRDefault="00866197" w:rsidP="00866197">
      <w:pPr>
        <w:pStyle w:val="NoSpacing"/>
        <w:rPr>
          <w:sz w:val="26"/>
          <w:szCs w:val="26"/>
        </w:rPr>
      </w:pPr>
    </w:p>
    <w:p w14:paraId="42D0F20D" w14:textId="77777777" w:rsidR="00866197" w:rsidRPr="0038447A" w:rsidRDefault="00866197" w:rsidP="00866197">
      <w:pPr>
        <w:pStyle w:val="NoSpacing"/>
        <w:rPr>
          <w:sz w:val="26"/>
          <w:szCs w:val="26"/>
        </w:rPr>
      </w:pPr>
    </w:p>
    <w:p w14:paraId="42D0F20E" w14:textId="77777777" w:rsidR="00866197" w:rsidRPr="0038447A" w:rsidRDefault="00866197" w:rsidP="00866197">
      <w:pPr>
        <w:pStyle w:val="NoSpacing"/>
        <w:rPr>
          <w:sz w:val="26"/>
          <w:szCs w:val="26"/>
        </w:rPr>
      </w:pPr>
    </w:p>
    <w:p w14:paraId="42D0F20F" w14:textId="77777777" w:rsidR="00866197" w:rsidRPr="0038447A" w:rsidRDefault="00866197" w:rsidP="00866197">
      <w:pPr>
        <w:pStyle w:val="NoSpacing"/>
        <w:rPr>
          <w:sz w:val="26"/>
          <w:szCs w:val="26"/>
        </w:rPr>
      </w:pPr>
    </w:p>
    <w:p w14:paraId="42D0F210" w14:textId="77777777" w:rsidR="001F5D21" w:rsidRPr="0038447A" w:rsidRDefault="001F5D21" w:rsidP="001F5D21">
      <w:pPr>
        <w:rPr>
          <w:rFonts w:cs="Times New Roman"/>
          <w:sz w:val="26"/>
          <w:szCs w:val="26"/>
        </w:rPr>
      </w:pPr>
    </w:p>
    <w:p w14:paraId="42D0F211" w14:textId="77777777" w:rsidR="002006B5" w:rsidRPr="0038447A" w:rsidRDefault="002006B5" w:rsidP="003D1B6F">
      <w:pPr>
        <w:pStyle w:val="NoSpacing"/>
        <w:rPr>
          <w:sz w:val="26"/>
          <w:szCs w:val="26"/>
        </w:rPr>
      </w:pPr>
    </w:p>
    <w:p w14:paraId="42D0F212" w14:textId="77777777" w:rsidR="002006B5" w:rsidRPr="0038447A" w:rsidRDefault="002006B5" w:rsidP="002006B5">
      <w:pPr>
        <w:pStyle w:val="NoSpacing"/>
        <w:rPr>
          <w:sz w:val="26"/>
          <w:szCs w:val="26"/>
        </w:rPr>
      </w:pPr>
      <w:r w:rsidRPr="0038447A">
        <w:rPr>
          <w:sz w:val="26"/>
          <w:szCs w:val="26"/>
        </w:rPr>
        <w:br w:type="page"/>
      </w:r>
    </w:p>
    <w:p w14:paraId="42D0F213" w14:textId="77777777" w:rsidR="00CF1FA1" w:rsidRPr="0038447A" w:rsidRDefault="00770A8A" w:rsidP="003D1B6F">
      <w:pPr>
        <w:pStyle w:val="NoSpacing"/>
        <w:rPr>
          <w:sz w:val="26"/>
          <w:szCs w:val="26"/>
        </w:rPr>
      </w:pPr>
      <w:r w:rsidRPr="0038447A">
        <w:rPr>
          <w:sz w:val="26"/>
          <w:szCs w:val="26"/>
        </w:rPr>
        <w:lastRenderedPageBreak/>
        <w:t>Ievads</w:t>
      </w:r>
    </w:p>
    <w:p w14:paraId="42D0F214" w14:textId="77777777" w:rsidR="003D1B6F" w:rsidRPr="0038447A" w:rsidRDefault="003D1B6F" w:rsidP="003D1B6F">
      <w:pPr>
        <w:pStyle w:val="NoSpacing"/>
        <w:ind w:left="720"/>
        <w:rPr>
          <w:sz w:val="26"/>
          <w:szCs w:val="26"/>
        </w:rPr>
      </w:pPr>
    </w:p>
    <w:p w14:paraId="42D0F215" w14:textId="77777777" w:rsidR="006E6430" w:rsidRPr="0038447A" w:rsidRDefault="00CF1FA1" w:rsidP="003D1B6F">
      <w:pPr>
        <w:rPr>
          <w:sz w:val="26"/>
          <w:szCs w:val="26"/>
        </w:rPr>
      </w:pPr>
      <w:r w:rsidRPr="0038447A">
        <w:rPr>
          <w:sz w:val="26"/>
          <w:szCs w:val="26"/>
        </w:rPr>
        <w:t xml:space="preserve">Korupcijas novēršanas un apkarošanas </w:t>
      </w:r>
      <w:r w:rsidR="00515CC1" w:rsidRPr="0038447A">
        <w:rPr>
          <w:sz w:val="26"/>
          <w:szCs w:val="26"/>
        </w:rPr>
        <w:t xml:space="preserve">biroja </w:t>
      </w:r>
      <w:r w:rsidR="006E6430" w:rsidRPr="0038447A">
        <w:rPr>
          <w:sz w:val="26"/>
          <w:szCs w:val="26"/>
        </w:rPr>
        <w:t>darbības stratēģija 201</w:t>
      </w:r>
      <w:r w:rsidR="008E2502" w:rsidRPr="0038447A">
        <w:rPr>
          <w:sz w:val="26"/>
          <w:szCs w:val="26"/>
        </w:rPr>
        <w:t>8</w:t>
      </w:r>
      <w:r w:rsidR="006E6430" w:rsidRPr="0038447A">
        <w:rPr>
          <w:sz w:val="26"/>
          <w:szCs w:val="26"/>
        </w:rPr>
        <w:t>. ̶ 2019</w:t>
      </w:r>
      <w:r w:rsidRPr="0038447A">
        <w:rPr>
          <w:sz w:val="26"/>
          <w:szCs w:val="26"/>
        </w:rPr>
        <w:t>.gadam (turpmāk</w:t>
      </w:r>
      <w:r w:rsidR="00326CBD">
        <w:rPr>
          <w:sz w:val="26"/>
          <w:szCs w:val="26"/>
        </w:rPr>
        <w:t xml:space="preserve"> – </w:t>
      </w:r>
      <w:r w:rsidRPr="0038447A">
        <w:rPr>
          <w:sz w:val="26"/>
          <w:szCs w:val="26"/>
        </w:rPr>
        <w:t xml:space="preserve">Stratēģija) ir vidēja termiņa Korupcijas novēršanas un </w:t>
      </w:r>
      <w:r w:rsidR="00326CBD">
        <w:rPr>
          <w:sz w:val="26"/>
          <w:szCs w:val="26"/>
        </w:rPr>
        <w:t xml:space="preserve">apkarošanas biroja (turpmāk – </w:t>
      </w:r>
      <w:r w:rsidRPr="0038447A">
        <w:rPr>
          <w:sz w:val="26"/>
          <w:szCs w:val="26"/>
        </w:rPr>
        <w:t>Birojs) vadības dokuments</w:t>
      </w:r>
      <w:r w:rsidR="008F4474" w:rsidRPr="0038447A">
        <w:rPr>
          <w:sz w:val="26"/>
          <w:szCs w:val="26"/>
        </w:rPr>
        <w:t xml:space="preserve">, kas </w:t>
      </w:r>
      <w:r w:rsidR="002314E4" w:rsidRPr="0038447A">
        <w:rPr>
          <w:sz w:val="26"/>
          <w:szCs w:val="26"/>
        </w:rPr>
        <w:t>nodrošina Biroja darbības plānošanu, nosakot Biroja stratēģiskos mērķus, uzdevumus mērķu sasniegšanai, rezultatīvos rādītājus un to sasniedzamās skaitliskās vērtības.</w:t>
      </w:r>
    </w:p>
    <w:p w14:paraId="42D0F216" w14:textId="77777777" w:rsidR="00CF1FA1" w:rsidRPr="0038447A" w:rsidRDefault="002314E4" w:rsidP="003D1B6F">
      <w:pPr>
        <w:rPr>
          <w:sz w:val="26"/>
          <w:szCs w:val="26"/>
        </w:rPr>
      </w:pPr>
      <w:r w:rsidRPr="0038447A">
        <w:rPr>
          <w:sz w:val="26"/>
          <w:szCs w:val="26"/>
        </w:rPr>
        <w:t xml:space="preserve"> Biroja Stratēģija ir izstrādāta</w:t>
      </w:r>
      <w:r w:rsidR="008F4474" w:rsidRPr="0038447A">
        <w:rPr>
          <w:sz w:val="26"/>
          <w:szCs w:val="26"/>
        </w:rPr>
        <w:t xml:space="preserve"> saskaņā ar </w:t>
      </w:r>
      <w:r w:rsidR="00651CFA" w:rsidRPr="0038447A">
        <w:rPr>
          <w:sz w:val="26"/>
          <w:szCs w:val="26"/>
        </w:rPr>
        <w:t xml:space="preserve">Korupcijas novēršanas un apkarošanas biroja </w:t>
      </w:r>
      <w:r w:rsidR="00596C3E" w:rsidRPr="0038447A">
        <w:rPr>
          <w:sz w:val="26"/>
          <w:szCs w:val="26"/>
        </w:rPr>
        <w:t>likum</w:t>
      </w:r>
      <w:r w:rsidR="00647022">
        <w:rPr>
          <w:sz w:val="26"/>
          <w:szCs w:val="26"/>
        </w:rPr>
        <w:t>ā noteikto</w:t>
      </w:r>
      <w:r w:rsidR="00A0201E" w:rsidRPr="0038447A">
        <w:rPr>
          <w:rStyle w:val="FootnoteReference"/>
          <w:sz w:val="26"/>
          <w:szCs w:val="26"/>
        </w:rPr>
        <w:footnoteReference w:id="1"/>
      </w:r>
      <w:r w:rsidR="00A0201E" w:rsidRPr="0038447A">
        <w:rPr>
          <w:sz w:val="26"/>
          <w:szCs w:val="26"/>
        </w:rPr>
        <w:t xml:space="preserve"> un </w:t>
      </w:r>
      <w:r w:rsidR="008F4474" w:rsidRPr="0038447A">
        <w:rPr>
          <w:sz w:val="26"/>
          <w:szCs w:val="26"/>
        </w:rPr>
        <w:t xml:space="preserve">2015.gada 28.aprīļa </w:t>
      </w:r>
      <w:r w:rsidR="00F07342">
        <w:rPr>
          <w:sz w:val="26"/>
          <w:szCs w:val="26"/>
        </w:rPr>
        <w:t xml:space="preserve">Ministru kabineta </w:t>
      </w:r>
      <w:r w:rsidR="008F4474" w:rsidRPr="0038447A">
        <w:rPr>
          <w:sz w:val="26"/>
          <w:szCs w:val="26"/>
        </w:rPr>
        <w:t>instrukciju Nr.3 “Kārtība, kādā izstrādā un aktualizē institūcijas darbības stratēģiju un novērtē tās ieviešanu”.</w:t>
      </w:r>
      <w:r w:rsidR="00651CFA" w:rsidRPr="0038447A">
        <w:rPr>
          <w:sz w:val="26"/>
          <w:szCs w:val="26"/>
        </w:rPr>
        <w:t xml:space="preserve"> </w:t>
      </w:r>
    </w:p>
    <w:p w14:paraId="42D0F217" w14:textId="77777777" w:rsidR="008F4474" w:rsidRPr="0038447A" w:rsidRDefault="008F4474" w:rsidP="003D1B6F">
      <w:pPr>
        <w:rPr>
          <w:sz w:val="26"/>
          <w:szCs w:val="26"/>
        </w:rPr>
      </w:pPr>
      <w:r w:rsidRPr="0038447A">
        <w:rPr>
          <w:sz w:val="26"/>
          <w:szCs w:val="26"/>
        </w:rPr>
        <w:t xml:space="preserve">Stratēģijas mērķis ir </w:t>
      </w:r>
      <w:r w:rsidR="00854E0E" w:rsidRPr="0038447A">
        <w:rPr>
          <w:sz w:val="26"/>
          <w:szCs w:val="26"/>
        </w:rPr>
        <w:t>nodrošināt</w:t>
      </w:r>
      <w:r w:rsidR="00515CC1" w:rsidRPr="0038447A">
        <w:rPr>
          <w:sz w:val="26"/>
          <w:szCs w:val="26"/>
        </w:rPr>
        <w:t xml:space="preserve"> efektīvu </w:t>
      </w:r>
      <w:r w:rsidR="00854E0E" w:rsidRPr="0038447A">
        <w:rPr>
          <w:sz w:val="26"/>
          <w:szCs w:val="26"/>
        </w:rPr>
        <w:t>Biroja darbības plānošanu</w:t>
      </w:r>
      <w:r w:rsidR="009C03A8">
        <w:rPr>
          <w:sz w:val="26"/>
          <w:szCs w:val="26"/>
        </w:rPr>
        <w:t xml:space="preserve"> un īstenošanu</w:t>
      </w:r>
      <w:r w:rsidR="00854E0E" w:rsidRPr="0038447A">
        <w:rPr>
          <w:sz w:val="26"/>
          <w:szCs w:val="26"/>
        </w:rPr>
        <w:t xml:space="preserve"> tā kompetencē esošo funkciju un uzdevumu ietvaros</w:t>
      </w:r>
      <w:r w:rsidR="00515CC1" w:rsidRPr="0038447A">
        <w:rPr>
          <w:sz w:val="26"/>
          <w:szCs w:val="26"/>
        </w:rPr>
        <w:t xml:space="preserve"> </w:t>
      </w:r>
      <w:r w:rsidR="00E96128" w:rsidRPr="0038447A">
        <w:rPr>
          <w:sz w:val="26"/>
          <w:szCs w:val="26"/>
        </w:rPr>
        <w:t>laikposmā</w:t>
      </w:r>
      <w:r w:rsidR="007C35F4" w:rsidRPr="0038447A">
        <w:rPr>
          <w:sz w:val="26"/>
          <w:szCs w:val="26"/>
        </w:rPr>
        <w:t xml:space="preserve"> no 201</w:t>
      </w:r>
      <w:r w:rsidR="008E2502" w:rsidRPr="0038447A">
        <w:rPr>
          <w:sz w:val="26"/>
          <w:szCs w:val="26"/>
        </w:rPr>
        <w:t>8</w:t>
      </w:r>
      <w:r w:rsidR="007C35F4" w:rsidRPr="0038447A">
        <w:rPr>
          <w:sz w:val="26"/>
          <w:szCs w:val="26"/>
        </w:rPr>
        <w:t>. līdz 2019.gadam</w:t>
      </w:r>
      <w:r w:rsidR="00854E0E" w:rsidRPr="0038447A">
        <w:rPr>
          <w:sz w:val="26"/>
          <w:szCs w:val="26"/>
        </w:rPr>
        <w:t xml:space="preserve">. </w:t>
      </w:r>
      <w:r w:rsidR="00854E0E" w:rsidRPr="00CB0000">
        <w:rPr>
          <w:sz w:val="26"/>
          <w:szCs w:val="26"/>
        </w:rPr>
        <w:t xml:space="preserve">Stratēģijas īstenošana atbilst plānotajam Biroja </w:t>
      </w:r>
      <w:r w:rsidR="00CB0000" w:rsidRPr="00CB0000">
        <w:rPr>
          <w:sz w:val="26"/>
          <w:szCs w:val="26"/>
        </w:rPr>
        <w:t xml:space="preserve">vidēja termiņa budžeta </w:t>
      </w:r>
      <w:r w:rsidR="00854E0E" w:rsidRPr="00CB0000">
        <w:rPr>
          <w:sz w:val="26"/>
          <w:szCs w:val="26"/>
        </w:rPr>
        <w:t>izdevumu kopapjo</w:t>
      </w:r>
      <w:r w:rsidR="00860ABF" w:rsidRPr="00CB0000">
        <w:rPr>
          <w:sz w:val="26"/>
          <w:szCs w:val="26"/>
        </w:rPr>
        <w:t>mam</w:t>
      </w:r>
      <w:r w:rsidR="00CB0000" w:rsidRPr="00CB0000">
        <w:rPr>
          <w:sz w:val="26"/>
          <w:szCs w:val="26"/>
        </w:rPr>
        <w:t>.</w:t>
      </w:r>
    </w:p>
    <w:p w14:paraId="42D0F218" w14:textId="77777777" w:rsidR="007A2161" w:rsidRPr="0038447A" w:rsidRDefault="007A2161" w:rsidP="007A2161">
      <w:pPr>
        <w:rPr>
          <w:rFonts w:cs="Times New Roman"/>
          <w:color w:val="000000" w:themeColor="text1"/>
          <w:sz w:val="26"/>
          <w:szCs w:val="26"/>
        </w:rPr>
      </w:pPr>
      <w:r w:rsidRPr="00CB0000">
        <w:rPr>
          <w:color w:val="000000" w:themeColor="text1"/>
          <w:sz w:val="26"/>
          <w:szCs w:val="26"/>
        </w:rPr>
        <w:t xml:space="preserve">Stratēģijas izstrādāšanas procesā tika lūgts </w:t>
      </w:r>
      <w:r w:rsidR="00D714DA" w:rsidRPr="00CB0000">
        <w:rPr>
          <w:color w:val="000000" w:themeColor="text1"/>
          <w:sz w:val="26"/>
          <w:szCs w:val="26"/>
        </w:rPr>
        <w:t xml:space="preserve">sniegt priekšlikumus </w:t>
      </w:r>
      <w:r w:rsidR="009C03A8" w:rsidRPr="00CB0000">
        <w:rPr>
          <w:rFonts w:eastAsia="ACaslonPro-Regular" w:cs="Times New Roman"/>
          <w:color w:val="000000" w:themeColor="text1"/>
          <w:sz w:val="26"/>
          <w:szCs w:val="26"/>
        </w:rPr>
        <w:t>par izvirzāmajām prioritātēm un sasniedzamajiem rezultātiem korupcijas novēršanas un apkarošanas jomā Stratēģijas plānošanas period</w:t>
      </w:r>
      <w:r w:rsidR="009C03A8">
        <w:rPr>
          <w:rFonts w:eastAsia="ACaslonPro-Regular" w:cs="Times New Roman"/>
          <w:color w:val="000000" w:themeColor="text1"/>
          <w:sz w:val="26"/>
          <w:szCs w:val="26"/>
        </w:rPr>
        <w:t>ā</w:t>
      </w:r>
      <w:r w:rsidR="009C03A8">
        <w:rPr>
          <w:color w:val="000000" w:themeColor="text1"/>
          <w:sz w:val="26"/>
          <w:szCs w:val="26"/>
        </w:rPr>
        <w:t xml:space="preserve"> arī </w:t>
      </w:r>
      <w:r w:rsidR="00D249D3" w:rsidRPr="00CB0000">
        <w:rPr>
          <w:color w:val="000000" w:themeColor="text1"/>
          <w:sz w:val="26"/>
          <w:szCs w:val="26"/>
        </w:rPr>
        <w:t xml:space="preserve">Biroja </w:t>
      </w:r>
      <w:r w:rsidRPr="00CB0000">
        <w:rPr>
          <w:color w:val="000000" w:themeColor="text1"/>
          <w:sz w:val="26"/>
          <w:szCs w:val="26"/>
        </w:rPr>
        <w:t>Sabiedrisk</w:t>
      </w:r>
      <w:r w:rsidR="00D249D3" w:rsidRPr="00CB0000">
        <w:rPr>
          <w:color w:val="000000" w:themeColor="text1"/>
          <w:sz w:val="26"/>
          <w:szCs w:val="26"/>
        </w:rPr>
        <w:t>ās</w:t>
      </w:r>
      <w:r w:rsidRPr="00CB0000">
        <w:rPr>
          <w:color w:val="000000" w:themeColor="text1"/>
          <w:sz w:val="26"/>
          <w:szCs w:val="26"/>
        </w:rPr>
        <w:t xml:space="preserve"> konsultatīvās padomes </w:t>
      </w:r>
      <w:r w:rsidR="00D249D3" w:rsidRPr="00CB0000">
        <w:rPr>
          <w:color w:val="000000" w:themeColor="text1"/>
          <w:sz w:val="26"/>
          <w:szCs w:val="26"/>
        </w:rPr>
        <w:t>locekļiem</w:t>
      </w:r>
      <w:r w:rsidRPr="00CB0000">
        <w:rPr>
          <w:color w:val="000000" w:themeColor="text1"/>
          <w:sz w:val="26"/>
          <w:szCs w:val="26"/>
        </w:rPr>
        <w:t xml:space="preserve"> kā nevalstisko organizāciju pārstāvjiem</w:t>
      </w:r>
      <w:r w:rsidR="009C03A8">
        <w:rPr>
          <w:color w:val="000000" w:themeColor="text1"/>
          <w:sz w:val="26"/>
          <w:szCs w:val="26"/>
        </w:rPr>
        <w:t>.</w:t>
      </w:r>
    </w:p>
    <w:p w14:paraId="42D0F219" w14:textId="77777777" w:rsidR="007A2161" w:rsidRPr="0038447A" w:rsidRDefault="007A2161" w:rsidP="007A2161">
      <w:pPr>
        <w:rPr>
          <w:sz w:val="26"/>
          <w:szCs w:val="26"/>
        </w:rPr>
      </w:pPr>
    </w:p>
    <w:p w14:paraId="42D0F21A" w14:textId="77777777" w:rsidR="00CF1FA1" w:rsidRPr="0038447A" w:rsidRDefault="00CF1FA1" w:rsidP="003D1B6F">
      <w:pPr>
        <w:rPr>
          <w:rFonts w:ascii="Arial" w:hAnsi="Arial" w:cs="Arial"/>
          <w:color w:val="333333"/>
          <w:sz w:val="26"/>
          <w:szCs w:val="26"/>
        </w:rPr>
      </w:pPr>
    </w:p>
    <w:p w14:paraId="42D0F21B" w14:textId="77777777" w:rsidR="008F4474" w:rsidRPr="0038447A" w:rsidRDefault="008F4474" w:rsidP="003D1B6F">
      <w:pPr>
        <w:rPr>
          <w:rFonts w:ascii="Arial" w:hAnsi="Arial" w:cs="Arial"/>
          <w:color w:val="333333"/>
          <w:sz w:val="26"/>
          <w:szCs w:val="26"/>
        </w:rPr>
      </w:pPr>
    </w:p>
    <w:p w14:paraId="42D0F21C" w14:textId="77777777" w:rsidR="00770A8A" w:rsidRPr="0038447A" w:rsidRDefault="00770A8A" w:rsidP="003D1B6F">
      <w:pPr>
        <w:rPr>
          <w:rFonts w:cs="Times New Roman"/>
          <w:sz w:val="26"/>
          <w:szCs w:val="26"/>
        </w:rPr>
      </w:pPr>
      <w:r w:rsidRPr="0038447A">
        <w:rPr>
          <w:rFonts w:cs="Times New Roman"/>
          <w:sz w:val="26"/>
          <w:szCs w:val="26"/>
        </w:rPr>
        <w:br w:type="page"/>
      </w:r>
    </w:p>
    <w:p w14:paraId="42D0F21D" w14:textId="77777777" w:rsidR="007C35F4" w:rsidRPr="0038447A" w:rsidRDefault="001F5D21" w:rsidP="003D1B6F">
      <w:pPr>
        <w:pStyle w:val="Heading1"/>
        <w:rPr>
          <w:sz w:val="26"/>
          <w:szCs w:val="26"/>
        </w:rPr>
      </w:pPr>
      <w:bookmarkStart w:id="0" w:name="_Toc500150875"/>
      <w:r w:rsidRPr="0038447A">
        <w:rPr>
          <w:sz w:val="26"/>
          <w:szCs w:val="26"/>
        </w:rPr>
        <w:lastRenderedPageBreak/>
        <w:t>VISPĀRĪGĀ DAĻA</w:t>
      </w:r>
      <w:bookmarkEnd w:id="0"/>
    </w:p>
    <w:p w14:paraId="42D0F21E" w14:textId="77777777" w:rsidR="001F5D21" w:rsidRPr="0038447A" w:rsidRDefault="007C35F4" w:rsidP="003D1B6F">
      <w:pPr>
        <w:pStyle w:val="Heading2"/>
        <w:rPr>
          <w:sz w:val="26"/>
        </w:rPr>
      </w:pPr>
      <w:bookmarkStart w:id="1" w:name="_Toc452993374"/>
      <w:bookmarkStart w:id="2" w:name="_Toc500150876"/>
      <w:r w:rsidRPr="0038447A">
        <w:rPr>
          <w:sz w:val="26"/>
        </w:rPr>
        <w:t xml:space="preserve">Biroja darbības </w:t>
      </w:r>
      <w:bookmarkEnd w:id="1"/>
      <w:r w:rsidR="007B66DA" w:rsidRPr="0038447A">
        <w:rPr>
          <w:sz w:val="26"/>
        </w:rPr>
        <w:t>tiesiskais pamats</w:t>
      </w:r>
      <w:bookmarkEnd w:id="2"/>
    </w:p>
    <w:p w14:paraId="42D0F21F" w14:textId="77777777" w:rsidR="007C35F4" w:rsidRPr="0038447A" w:rsidRDefault="00515CC1" w:rsidP="003D1B6F">
      <w:pPr>
        <w:rPr>
          <w:rFonts w:cs="Times New Roman"/>
          <w:sz w:val="26"/>
          <w:szCs w:val="26"/>
        </w:rPr>
      </w:pPr>
      <w:r w:rsidRPr="0038447A">
        <w:rPr>
          <w:rFonts w:cs="Times New Roman"/>
          <w:sz w:val="26"/>
          <w:szCs w:val="26"/>
        </w:rPr>
        <w:t>Birojs</w:t>
      </w:r>
      <w:r w:rsidR="00B15CE3" w:rsidRPr="0038447A">
        <w:rPr>
          <w:rFonts w:cs="Times New Roman"/>
          <w:sz w:val="26"/>
          <w:szCs w:val="26"/>
        </w:rPr>
        <w:t xml:space="preserve"> ir Ministru kabineta pārraudzībā esoša </w:t>
      </w:r>
      <w:r w:rsidR="00D249D3" w:rsidRPr="0038447A">
        <w:rPr>
          <w:rFonts w:cs="Times New Roman"/>
          <w:sz w:val="26"/>
          <w:szCs w:val="26"/>
        </w:rPr>
        <w:t xml:space="preserve">tiešās </w:t>
      </w:r>
      <w:r w:rsidR="00B15CE3" w:rsidRPr="0038447A">
        <w:rPr>
          <w:rFonts w:cs="Times New Roman"/>
          <w:sz w:val="26"/>
          <w:szCs w:val="26"/>
        </w:rPr>
        <w:t>pārvaldes iestāde, kurai saskaņā ar Korupcijas novēršanas un apkarošanas biroja likumu noteiktas konkrētas funkcijas korupcijas novēršanā un apkarošanā, kā arī politisko organizāciju (partiju) un to apvienību finansēšanas noteikumu izpildes kontrolē.</w:t>
      </w:r>
    </w:p>
    <w:p w14:paraId="42D0F220" w14:textId="77777777" w:rsidR="006E6430" w:rsidRPr="0038447A" w:rsidRDefault="006E6430" w:rsidP="006E6430">
      <w:pPr>
        <w:rPr>
          <w:rFonts w:cs="Times New Roman"/>
          <w:sz w:val="26"/>
          <w:szCs w:val="26"/>
        </w:rPr>
      </w:pPr>
      <w:r w:rsidRPr="0038447A">
        <w:rPr>
          <w:rFonts w:cs="Times New Roman"/>
          <w:b/>
          <w:sz w:val="26"/>
          <w:szCs w:val="26"/>
        </w:rPr>
        <w:t>Biroja</w:t>
      </w:r>
      <w:r w:rsidR="000C520A" w:rsidRPr="0038447A">
        <w:rPr>
          <w:rFonts w:cs="Times New Roman"/>
          <w:b/>
          <w:sz w:val="26"/>
          <w:szCs w:val="26"/>
        </w:rPr>
        <w:t xml:space="preserve"> misija</w:t>
      </w:r>
      <w:r w:rsidR="00596C3E" w:rsidRPr="0038447A">
        <w:rPr>
          <w:rFonts w:cs="Times New Roman"/>
          <w:sz w:val="26"/>
          <w:szCs w:val="26"/>
        </w:rPr>
        <w:t xml:space="preserve">: </w:t>
      </w:r>
      <w:r w:rsidRPr="0038447A">
        <w:rPr>
          <w:rFonts w:cs="Times New Roman"/>
          <w:sz w:val="26"/>
          <w:szCs w:val="26"/>
        </w:rPr>
        <w:t>“</w:t>
      </w:r>
      <w:r w:rsidR="00596C3E" w:rsidRPr="0038447A">
        <w:rPr>
          <w:rFonts w:cs="Times New Roman"/>
          <w:sz w:val="26"/>
          <w:szCs w:val="26"/>
          <w:lang w:eastAsia="lv-LV"/>
        </w:rPr>
        <w:t>M</w:t>
      </w:r>
      <w:r w:rsidRPr="0038447A">
        <w:rPr>
          <w:rFonts w:cs="Times New Roman"/>
          <w:sz w:val="26"/>
          <w:szCs w:val="26"/>
          <w:lang w:eastAsia="lv-LV"/>
        </w:rPr>
        <w:t>ēs vēršamies pret korupciju ar likuma spēku un sabiedrības atbalstu, lai panāktu amatpersonām uzticētās varas godprātīgu izmantošanu valsts un sabiedrības interesēs”</w:t>
      </w:r>
      <w:r w:rsidR="00596C3E" w:rsidRPr="0038447A">
        <w:rPr>
          <w:rFonts w:cs="Times New Roman"/>
          <w:sz w:val="26"/>
          <w:szCs w:val="26"/>
        </w:rPr>
        <w:t>.</w:t>
      </w:r>
    </w:p>
    <w:p w14:paraId="42D0F221" w14:textId="77777777" w:rsidR="00E02A6D" w:rsidRPr="0038447A" w:rsidRDefault="000A075D" w:rsidP="00E02A6D">
      <w:pPr>
        <w:rPr>
          <w:color w:val="000000" w:themeColor="text1"/>
          <w:sz w:val="26"/>
          <w:szCs w:val="26"/>
        </w:rPr>
      </w:pPr>
      <w:r w:rsidRPr="0038447A">
        <w:rPr>
          <w:b/>
          <w:color w:val="000000" w:themeColor="text1"/>
          <w:sz w:val="26"/>
          <w:szCs w:val="26"/>
        </w:rPr>
        <w:t xml:space="preserve">Birojs </w:t>
      </w:r>
      <w:r w:rsidRPr="0038447A">
        <w:rPr>
          <w:color w:val="000000" w:themeColor="text1"/>
          <w:sz w:val="26"/>
          <w:szCs w:val="26"/>
        </w:rPr>
        <w:t>savā darbībā un attiecībās ar sabiedrību kā</w:t>
      </w:r>
      <w:r w:rsidRPr="0038447A">
        <w:rPr>
          <w:b/>
          <w:color w:val="000000" w:themeColor="text1"/>
          <w:sz w:val="26"/>
          <w:szCs w:val="26"/>
        </w:rPr>
        <w:t xml:space="preserve"> pamatvērtības</w:t>
      </w:r>
      <w:r w:rsidRPr="0038447A">
        <w:rPr>
          <w:color w:val="000000" w:themeColor="text1"/>
          <w:sz w:val="26"/>
          <w:szCs w:val="26"/>
        </w:rPr>
        <w:t xml:space="preserve"> izvirza</w:t>
      </w:r>
      <w:r w:rsidRPr="0038447A">
        <w:rPr>
          <w:b/>
          <w:color w:val="000000" w:themeColor="text1"/>
          <w:sz w:val="26"/>
          <w:szCs w:val="26"/>
        </w:rPr>
        <w:t xml:space="preserve"> atbildību</w:t>
      </w:r>
      <w:r w:rsidR="00E02A6D" w:rsidRPr="0038447A">
        <w:rPr>
          <w:b/>
          <w:color w:val="000000" w:themeColor="text1"/>
          <w:sz w:val="26"/>
          <w:szCs w:val="26"/>
        </w:rPr>
        <w:t xml:space="preserve">, </w:t>
      </w:r>
      <w:r w:rsidR="009368BD" w:rsidRPr="0038447A">
        <w:rPr>
          <w:b/>
          <w:color w:val="000000" w:themeColor="text1"/>
          <w:sz w:val="26"/>
          <w:szCs w:val="26"/>
        </w:rPr>
        <w:t>profesionalitāt</w:t>
      </w:r>
      <w:r w:rsidRPr="0038447A">
        <w:rPr>
          <w:b/>
          <w:color w:val="000000" w:themeColor="text1"/>
          <w:sz w:val="26"/>
          <w:szCs w:val="26"/>
        </w:rPr>
        <w:t>i</w:t>
      </w:r>
      <w:r w:rsidR="009368BD" w:rsidRPr="0038447A">
        <w:rPr>
          <w:b/>
          <w:color w:val="000000" w:themeColor="text1"/>
          <w:sz w:val="26"/>
          <w:szCs w:val="26"/>
        </w:rPr>
        <w:t>, neatkarīb</w:t>
      </w:r>
      <w:r w:rsidRPr="0038447A">
        <w:rPr>
          <w:b/>
          <w:color w:val="000000" w:themeColor="text1"/>
          <w:sz w:val="26"/>
          <w:szCs w:val="26"/>
        </w:rPr>
        <w:t>u</w:t>
      </w:r>
      <w:r w:rsidR="009368BD" w:rsidRPr="0038447A">
        <w:rPr>
          <w:b/>
          <w:color w:val="000000" w:themeColor="text1"/>
          <w:sz w:val="26"/>
          <w:szCs w:val="26"/>
        </w:rPr>
        <w:t xml:space="preserve"> </w:t>
      </w:r>
      <w:r w:rsidR="00515CC1" w:rsidRPr="0038447A">
        <w:rPr>
          <w:b/>
          <w:color w:val="000000" w:themeColor="text1"/>
          <w:sz w:val="26"/>
          <w:szCs w:val="26"/>
        </w:rPr>
        <w:t>un uzticēšan</w:t>
      </w:r>
      <w:r w:rsidRPr="0038447A">
        <w:rPr>
          <w:b/>
          <w:color w:val="000000" w:themeColor="text1"/>
          <w:sz w:val="26"/>
          <w:szCs w:val="26"/>
        </w:rPr>
        <w:t>os</w:t>
      </w:r>
      <w:r w:rsidR="00D249D3" w:rsidRPr="0038447A">
        <w:rPr>
          <w:color w:val="000000" w:themeColor="text1"/>
          <w:sz w:val="26"/>
          <w:szCs w:val="26"/>
        </w:rPr>
        <w:t>.</w:t>
      </w:r>
    </w:p>
    <w:p w14:paraId="42D0F222" w14:textId="77777777" w:rsidR="00F26F37" w:rsidRPr="0038447A" w:rsidRDefault="00F26F37" w:rsidP="00F26F37">
      <w:pPr>
        <w:pStyle w:val="NoSpacing"/>
        <w:rPr>
          <w:sz w:val="26"/>
          <w:szCs w:val="26"/>
        </w:rPr>
      </w:pPr>
    </w:p>
    <w:p w14:paraId="42D0F223" w14:textId="77777777" w:rsidR="00587D7F" w:rsidRPr="0038447A" w:rsidRDefault="00587D7F" w:rsidP="00FD23DB">
      <w:pPr>
        <w:keepNext/>
        <w:keepLines/>
        <w:numPr>
          <w:ilvl w:val="1"/>
          <w:numId w:val="3"/>
        </w:numPr>
        <w:spacing w:line="276" w:lineRule="auto"/>
        <w:ind w:left="0" w:firstLine="0"/>
        <w:jc w:val="center"/>
        <w:outlineLvl w:val="1"/>
        <w:rPr>
          <w:rFonts w:eastAsiaTheme="majorEastAsia" w:cstheme="majorBidi"/>
          <w:b/>
          <w:bCs/>
          <w:sz w:val="26"/>
          <w:szCs w:val="26"/>
        </w:rPr>
      </w:pPr>
      <w:bookmarkStart w:id="3" w:name="_Toc500150877"/>
      <w:r w:rsidRPr="0038447A">
        <w:rPr>
          <w:rFonts w:eastAsiaTheme="majorEastAsia" w:cstheme="majorBidi"/>
          <w:b/>
          <w:bCs/>
          <w:sz w:val="26"/>
          <w:szCs w:val="26"/>
        </w:rPr>
        <w:t xml:space="preserve">Vispārīgs esošās situācijas </w:t>
      </w:r>
      <w:bookmarkEnd w:id="3"/>
      <w:r w:rsidR="00DF777F">
        <w:rPr>
          <w:rFonts w:eastAsiaTheme="majorEastAsia" w:cstheme="majorBidi"/>
          <w:b/>
          <w:bCs/>
          <w:sz w:val="26"/>
          <w:szCs w:val="26"/>
        </w:rPr>
        <w:t>raksturojums</w:t>
      </w:r>
    </w:p>
    <w:p w14:paraId="42D0F224" w14:textId="77777777" w:rsidR="00460E56" w:rsidRPr="0038447A" w:rsidRDefault="00460E56" w:rsidP="00FD23DB">
      <w:pPr>
        <w:pStyle w:val="NoSpacing"/>
        <w:rPr>
          <w:b w:val="0"/>
          <w:sz w:val="26"/>
          <w:szCs w:val="26"/>
        </w:rPr>
      </w:pPr>
    </w:p>
    <w:p w14:paraId="42D0F225" w14:textId="77777777" w:rsidR="004B23CE" w:rsidRPr="004B23CE" w:rsidRDefault="004B23CE" w:rsidP="004B23CE">
      <w:pPr>
        <w:rPr>
          <w:rFonts w:eastAsia="Times New Roman" w:cs="Times New Roman"/>
          <w:sz w:val="26"/>
          <w:szCs w:val="26"/>
          <w:lang w:eastAsia="lv-LV"/>
        </w:rPr>
      </w:pPr>
      <w:r w:rsidRPr="004B23CE">
        <w:rPr>
          <w:rFonts w:eastAsia="Times New Roman" w:cs="Times New Roman"/>
          <w:color w:val="000000" w:themeColor="text1"/>
          <w:sz w:val="26"/>
          <w:szCs w:val="26"/>
          <w:lang w:eastAsia="lv-LV"/>
        </w:rPr>
        <w:t xml:space="preserve">Korupcija ietekmē gan valsts ekonomisko, gan tiesisko, kā arī sociālo attīstību, gan katra sabiedrības locekļa tiesību un brīvību realizāciju, tādējādi samazinot sabiedrības lojalitāti </w:t>
      </w:r>
      <w:r w:rsidR="0049169B">
        <w:rPr>
          <w:rFonts w:eastAsia="Times New Roman" w:cs="Times New Roman"/>
          <w:color w:val="000000" w:themeColor="text1"/>
          <w:sz w:val="26"/>
          <w:szCs w:val="26"/>
          <w:lang w:eastAsia="lv-LV"/>
        </w:rPr>
        <w:t>un uzticību valstij</w:t>
      </w:r>
      <w:r w:rsidRPr="004B23CE">
        <w:rPr>
          <w:rFonts w:eastAsia="Times New Roman" w:cs="Times New Roman"/>
          <w:color w:val="000000" w:themeColor="text1"/>
          <w:sz w:val="26"/>
          <w:szCs w:val="26"/>
          <w:lang w:eastAsia="lv-LV"/>
        </w:rPr>
        <w:t xml:space="preserve"> un destabilizējot </w:t>
      </w:r>
      <w:r w:rsidR="0049169B">
        <w:rPr>
          <w:rFonts w:eastAsia="Times New Roman" w:cs="Times New Roman"/>
          <w:color w:val="000000" w:themeColor="text1"/>
          <w:sz w:val="26"/>
          <w:szCs w:val="26"/>
          <w:lang w:eastAsia="lv-LV"/>
        </w:rPr>
        <w:t>iekš</w:t>
      </w:r>
      <w:r w:rsidRPr="004B23CE">
        <w:rPr>
          <w:rFonts w:eastAsia="Times New Roman" w:cs="Times New Roman"/>
          <w:color w:val="000000" w:themeColor="text1"/>
          <w:sz w:val="26"/>
          <w:szCs w:val="26"/>
          <w:lang w:eastAsia="lv-LV"/>
        </w:rPr>
        <w:t xml:space="preserve">politisko un ekonomisko situāciju. Korupcija negatīvi ietekmē valsts pārvaldes darbu kopumā, </w:t>
      </w:r>
      <w:r w:rsidR="0049169B">
        <w:rPr>
          <w:rFonts w:eastAsia="Times New Roman" w:cs="Times New Roman"/>
          <w:color w:val="000000" w:themeColor="text1"/>
          <w:sz w:val="26"/>
          <w:szCs w:val="26"/>
          <w:lang w:eastAsia="lv-LV"/>
        </w:rPr>
        <w:t>apdraudot</w:t>
      </w:r>
      <w:r w:rsidRPr="004B23CE">
        <w:rPr>
          <w:rFonts w:eastAsia="Times New Roman" w:cs="Times New Roman"/>
          <w:color w:val="000000" w:themeColor="text1"/>
          <w:sz w:val="26"/>
          <w:szCs w:val="26"/>
          <w:lang w:eastAsia="lv-LV"/>
        </w:rPr>
        <w:t xml:space="preserve"> lēmumu pieņemšanu sabiedrības interesēs. Korupciju var iedalīt </w:t>
      </w:r>
      <w:r w:rsidRPr="004B23CE">
        <w:rPr>
          <w:rFonts w:eastAsia="Times New Roman" w:cs="Times New Roman"/>
          <w:sz w:val="26"/>
          <w:szCs w:val="26"/>
          <w:lang w:eastAsia="lv-LV"/>
        </w:rPr>
        <w:t>“</w:t>
      </w:r>
      <w:r w:rsidR="0049169B">
        <w:rPr>
          <w:rFonts w:eastAsia="Times New Roman" w:cs="Times New Roman"/>
          <w:sz w:val="26"/>
          <w:szCs w:val="26"/>
          <w:lang w:eastAsia="lv-LV"/>
        </w:rPr>
        <w:t>zemākā līmeņa</w:t>
      </w:r>
      <w:r w:rsidRPr="004B23CE">
        <w:rPr>
          <w:rFonts w:eastAsia="Times New Roman" w:cs="Times New Roman"/>
          <w:sz w:val="26"/>
          <w:szCs w:val="26"/>
          <w:lang w:eastAsia="lv-LV"/>
        </w:rPr>
        <w:t>” jeb administratīvajā korupcijā, kas izpaužas normatīvo aktu piemērošanas stadijā, piemēram, saistībā ar dažādu atļauju, licenču un citu dokumentu izsniegšanu, un “</w:t>
      </w:r>
      <w:r w:rsidR="0049169B">
        <w:rPr>
          <w:rFonts w:eastAsia="Times New Roman" w:cs="Times New Roman"/>
          <w:sz w:val="26"/>
          <w:szCs w:val="26"/>
          <w:lang w:eastAsia="lv-LV"/>
        </w:rPr>
        <w:t>augstākā līmeņa</w:t>
      </w:r>
      <w:r w:rsidRPr="004B23CE">
        <w:rPr>
          <w:rFonts w:eastAsia="Times New Roman" w:cs="Times New Roman"/>
          <w:sz w:val="26"/>
          <w:szCs w:val="26"/>
          <w:lang w:eastAsia="lv-LV"/>
        </w:rPr>
        <w:t xml:space="preserve">” jeb politiskajā korupcijā, kur augstu stāvošas amatpersonas pieņem lēmumus, izstrādā vai ievieš politiku savās privātajās interesēs, saistītu ar </w:t>
      </w:r>
      <w:r w:rsidR="0049169B">
        <w:rPr>
          <w:rFonts w:eastAsia="Times New Roman" w:cs="Times New Roman"/>
          <w:sz w:val="26"/>
          <w:szCs w:val="26"/>
          <w:lang w:eastAsia="lv-LV"/>
        </w:rPr>
        <w:t>nozīmīgu</w:t>
      </w:r>
      <w:r w:rsidRPr="004B23CE">
        <w:rPr>
          <w:rFonts w:eastAsia="Times New Roman" w:cs="Times New Roman"/>
          <w:sz w:val="26"/>
          <w:szCs w:val="26"/>
          <w:lang w:eastAsia="lv-LV"/>
        </w:rPr>
        <w:t xml:space="preserve"> finanšu līdzekļu iesaisti. </w:t>
      </w:r>
    </w:p>
    <w:p w14:paraId="42D0F226" w14:textId="77777777" w:rsidR="004B23CE" w:rsidRPr="004B23CE" w:rsidRDefault="0049169B" w:rsidP="004B23CE">
      <w:pPr>
        <w:autoSpaceDE w:val="0"/>
        <w:autoSpaceDN w:val="0"/>
        <w:adjustRightInd w:val="0"/>
        <w:rPr>
          <w:rFonts w:cs="Times New Roman"/>
          <w:sz w:val="26"/>
          <w:szCs w:val="26"/>
        </w:rPr>
      </w:pPr>
      <w:r>
        <w:rPr>
          <w:rFonts w:cs="Times New Roman"/>
          <w:sz w:val="26"/>
          <w:szCs w:val="26"/>
        </w:rPr>
        <w:t>Korupciju</w:t>
      </w:r>
      <w:r w:rsidR="004B23CE" w:rsidRPr="004B23CE">
        <w:rPr>
          <w:rFonts w:cs="Times New Roman"/>
          <w:sz w:val="26"/>
          <w:szCs w:val="26"/>
        </w:rPr>
        <w:t xml:space="preserve"> var veicināt vairāki cēloņi, kurus var  iedalīt četrās grupās: </w:t>
      </w:r>
    </w:p>
    <w:p w14:paraId="42D0F227" w14:textId="77777777" w:rsidR="004B23CE" w:rsidRPr="004B23CE" w:rsidRDefault="004B23CE" w:rsidP="004B23CE">
      <w:pPr>
        <w:autoSpaceDE w:val="0"/>
        <w:autoSpaceDN w:val="0"/>
        <w:adjustRightInd w:val="0"/>
        <w:ind w:firstLine="0"/>
        <w:rPr>
          <w:rFonts w:cs="Times New Roman"/>
          <w:color w:val="000000"/>
          <w:sz w:val="26"/>
          <w:szCs w:val="26"/>
        </w:rPr>
      </w:pPr>
      <w:r w:rsidRPr="004B23CE">
        <w:rPr>
          <w:rFonts w:cs="Times New Roman"/>
          <w:sz w:val="26"/>
          <w:szCs w:val="26"/>
        </w:rPr>
        <w:t>1.</w:t>
      </w:r>
      <w:r w:rsidRPr="004B23CE">
        <w:rPr>
          <w:rFonts w:cs="Times New Roman"/>
          <w:color w:val="000000"/>
          <w:sz w:val="26"/>
          <w:szCs w:val="26"/>
        </w:rPr>
        <w:t>Trūkumi normatīvajos aktos, regulējumā, procedūrās;</w:t>
      </w:r>
    </w:p>
    <w:p w14:paraId="42D0F228" w14:textId="77777777" w:rsidR="004B23CE" w:rsidRPr="004B23CE" w:rsidRDefault="004B23CE" w:rsidP="004B23CE">
      <w:pPr>
        <w:autoSpaceDE w:val="0"/>
        <w:autoSpaceDN w:val="0"/>
        <w:adjustRightInd w:val="0"/>
        <w:ind w:firstLine="0"/>
        <w:rPr>
          <w:rFonts w:cs="Times New Roman"/>
          <w:color w:val="000000"/>
          <w:sz w:val="26"/>
          <w:szCs w:val="26"/>
        </w:rPr>
      </w:pPr>
      <w:r w:rsidRPr="004B23CE">
        <w:rPr>
          <w:rFonts w:cs="Times New Roman"/>
          <w:color w:val="000000"/>
          <w:sz w:val="26"/>
          <w:szCs w:val="26"/>
        </w:rPr>
        <w:t>2.Trūkumi institūcijas pārvaldē, t.sk. nav izveidots vai nepilnīgi izveidots iekšējās kontroles mehānisms, nav ieviesta skaidra pretkorupcijas politika;</w:t>
      </w:r>
    </w:p>
    <w:p w14:paraId="42D0F229" w14:textId="77777777" w:rsidR="004B23CE" w:rsidRPr="004B23CE" w:rsidRDefault="004B23CE" w:rsidP="004B23CE">
      <w:pPr>
        <w:autoSpaceDE w:val="0"/>
        <w:autoSpaceDN w:val="0"/>
        <w:adjustRightInd w:val="0"/>
        <w:ind w:firstLine="0"/>
        <w:rPr>
          <w:rFonts w:cs="Times New Roman"/>
          <w:sz w:val="26"/>
          <w:szCs w:val="26"/>
        </w:rPr>
      </w:pPr>
      <w:r>
        <w:rPr>
          <w:rFonts w:cs="Times New Roman"/>
          <w:sz w:val="26"/>
          <w:szCs w:val="26"/>
        </w:rPr>
        <w:t>3. </w:t>
      </w:r>
      <w:r w:rsidRPr="004B23CE">
        <w:rPr>
          <w:rFonts w:cs="Times New Roman"/>
          <w:sz w:val="26"/>
          <w:szCs w:val="26"/>
        </w:rPr>
        <w:t>Individuālās intereses, t.sk. mantkārība, ētiskuma u</w:t>
      </w:r>
      <w:r w:rsidR="0049169B">
        <w:rPr>
          <w:rFonts w:cs="Times New Roman"/>
          <w:sz w:val="26"/>
          <w:szCs w:val="26"/>
        </w:rPr>
        <w:t>n tiesiskās apziņas trūkums</w:t>
      </w:r>
      <w:r w:rsidRPr="004B23CE">
        <w:rPr>
          <w:rFonts w:cs="Times New Roman"/>
          <w:sz w:val="26"/>
          <w:szCs w:val="26"/>
        </w:rPr>
        <w:t>;</w:t>
      </w:r>
    </w:p>
    <w:p w14:paraId="42D0F22A" w14:textId="77777777" w:rsidR="004B23CE" w:rsidRPr="004B23CE" w:rsidRDefault="004B23CE" w:rsidP="004B23CE">
      <w:pPr>
        <w:ind w:firstLine="0"/>
        <w:rPr>
          <w:rFonts w:cs="Times New Roman"/>
          <w:b/>
          <w:sz w:val="26"/>
          <w:szCs w:val="26"/>
        </w:rPr>
      </w:pPr>
      <w:r w:rsidRPr="004B23CE">
        <w:rPr>
          <w:rFonts w:cs="Times New Roman"/>
          <w:sz w:val="26"/>
          <w:szCs w:val="26"/>
        </w:rPr>
        <w:t>4. Ārējā ietekme</w:t>
      </w:r>
      <w:r w:rsidR="0049169B">
        <w:rPr>
          <w:rFonts w:cs="Times New Roman"/>
          <w:sz w:val="26"/>
          <w:szCs w:val="26"/>
        </w:rPr>
        <w:t>, t.sk.</w:t>
      </w:r>
      <w:r w:rsidRPr="004B23CE">
        <w:rPr>
          <w:rFonts w:cs="Times New Roman"/>
          <w:sz w:val="26"/>
          <w:szCs w:val="26"/>
        </w:rPr>
        <w:t xml:space="preserve"> sabiedrības attieksme,</w:t>
      </w:r>
      <w:r w:rsidR="0049169B">
        <w:rPr>
          <w:rFonts w:cs="Times New Roman"/>
          <w:sz w:val="26"/>
          <w:szCs w:val="26"/>
        </w:rPr>
        <w:t xml:space="preserve"> kultūra un</w:t>
      </w:r>
      <w:r w:rsidRPr="004B23CE">
        <w:rPr>
          <w:rFonts w:cs="Times New Roman"/>
          <w:sz w:val="26"/>
          <w:szCs w:val="26"/>
        </w:rPr>
        <w:t xml:space="preserve"> tradīcijas.</w:t>
      </w:r>
    </w:p>
    <w:p w14:paraId="42D0F22B" w14:textId="77777777" w:rsidR="004B23CE" w:rsidRPr="004B23CE" w:rsidRDefault="004B23CE" w:rsidP="004B23CE">
      <w:pPr>
        <w:ind w:firstLine="709"/>
        <w:rPr>
          <w:rFonts w:eastAsia="Times New Roman" w:cs="Times New Roman"/>
          <w:sz w:val="26"/>
          <w:szCs w:val="26"/>
          <w:lang w:eastAsia="lv-LV"/>
        </w:rPr>
      </w:pPr>
      <w:r w:rsidRPr="004B23CE">
        <w:rPr>
          <w:rFonts w:eastAsia="Times New Roman" w:cs="Times New Roman"/>
          <w:sz w:val="26"/>
          <w:szCs w:val="26"/>
          <w:lang w:eastAsia="lv-LV"/>
        </w:rPr>
        <w:t xml:space="preserve">Korupcija visbiežāk </w:t>
      </w:r>
      <w:r w:rsidR="0049169B">
        <w:rPr>
          <w:rFonts w:eastAsia="Times New Roman" w:cs="Times New Roman"/>
          <w:sz w:val="26"/>
          <w:szCs w:val="26"/>
          <w:lang w:eastAsia="lv-LV"/>
        </w:rPr>
        <w:t>var izpausties</w:t>
      </w:r>
      <w:r w:rsidRPr="004B23CE">
        <w:rPr>
          <w:rFonts w:eastAsia="Times New Roman" w:cs="Times New Roman"/>
          <w:sz w:val="26"/>
          <w:szCs w:val="26"/>
          <w:lang w:eastAsia="lv-LV"/>
        </w:rPr>
        <w:t xml:space="preserve"> situācijās, kad saskaras publiskā un privātā sektora intereses.</w:t>
      </w:r>
      <w:r w:rsidRPr="004B23CE">
        <w:rPr>
          <w:sz w:val="26"/>
          <w:szCs w:val="26"/>
        </w:rPr>
        <w:t xml:space="preserve"> Korupcija publiskajā sektorā bremzē arī godīgas biznesa vides attīstību un izkropļo konkurenci. </w:t>
      </w:r>
    </w:p>
    <w:p w14:paraId="42D0F22C" w14:textId="77777777" w:rsidR="004B23CE" w:rsidRPr="004B23CE" w:rsidRDefault="004B23CE" w:rsidP="004B23CE">
      <w:pPr>
        <w:ind w:firstLine="709"/>
        <w:rPr>
          <w:b/>
          <w:color w:val="000000" w:themeColor="text1"/>
          <w:sz w:val="26"/>
          <w:szCs w:val="26"/>
        </w:rPr>
      </w:pPr>
      <w:r w:rsidRPr="004B23CE">
        <w:rPr>
          <w:color w:val="000000" w:themeColor="text1"/>
          <w:sz w:val="26"/>
          <w:szCs w:val="26"/>
        </w:rPr>
        <w:t xml:space="preserve">Latvijā korupcija joprojām ir viena no valsts attīstību </w:t>
      </w:r>
      <w:r w:rsidR="0049169B">
        <w:rPr>
          <w:color w:val="000000" w:themeColor="text1"/>
          <w:sz w:val="26"/>
          <w:szCs w:val="26"/>
        </w:rPr>
        <w:t>kavējošām</w:t>
      </w:r>
      <w:r w:rsidRPr="004B23CE">
        <w:rPr>
          <w:color w:val="000000" w:themeColor="text1"/>
          <w:sz w:val="26"/>
          <w:szCs w:val="26"/>
        </w:rPr>
        <w:t xml:space="preserve"> problēmām, ko apstiprina gan Latvijā veiktie, gan starptautiskie pētījumi.</w:t>
      </w:r>
    </w:p>
    <w:p w14:paraId="42D0F22D" w14:textId="77777777" w:rsidR="004B23CE" w:rsidRPr="004B23CE" w:rsidRDefault="004B23CE" w:rsidP="004B23CE">
      <w:pPr>
        <w:rPr>
          <w:rFonts w:cs="Times New Roman"/>
          <w:sz w:val="26"/>
          <w:szCs w:val="26"/>
        </w:rPr>
      </w:pPr>
      <w:r w:rsidRPr="004B23CE">
        <w:rPr>
          <w:rFonts w:cs="Times New Roman"/>
          <w:color w:val="000000" w:themeColor="text1"/>
          <w:sz w:val="26"/>
          <w:szCs w:val="26"/>
        </w:rPr>
        <w:t xml:space="preserve">Piemēram, </w:t>
      </w:r>
      <w:r w:rsidR="00646C98" w:rsidRPr="004B23CE">
        <w:rPr>
          <w:rFonts w:cs="Times New Roman"/>
          <w:color w:val="000000" w:themeColor="text1"/>
          <w:sz w:val="26"/>
          <w:szCs w:val="26"/>
        </w:rPr>
        <w:t>201</w:t>
      </w:r>
      <w:r w:rsidR="00646C98">
        <w:rPr>
          <w:rFonts w:cs="Times New Roman"/>
          <w:color w:val="000000" w:themeColor="text1"/>
          <w:sz w:val="26"/>
          <w:szCs w:val="26"/>
        </w:rPr>
        <w:t>6</w:t>
      </w:r>
      <w:r w:rsidRPr="004B23CE">
        <w:rPr>
          <w:rFonts w:cs="Times New Roman"/>
          <w:color w:val="000000" w:themeColor="text1"/>
          <w:sz w:val="26"/>
          <w:szCs w:val="26"/>
        </w:rPr>
        <w:t>.gada socioloģiskajā aptaujā “Sabiedrības viedoklis par korupciju”</w:t>
      </w:r>
      <w:r w:rsidRPr="004B23CE">
        <w:rPr>
          <w:rFonts w:cs="Times New Roman"/>
          <w:color w:val="000000" w:themeColor="text1"/>
          <w:sz w:val="26"/>
          <w:szCs w:val="26"/>
          <w:vertAlign w:val="superscript"/>
        </w:rPr>
        <w:footnoteReference w:id="2"/>
      </w:r>
      <w:r w:rsidRPr="004B23CE">
        <w:rPr>
          <w:rFonts w:cs="Times New Roman"/>
          <w:color w:val="000000" w:themeColor="text1"/>
          <w:sz w:val="26"/>
          <w:szCs w:val="26"/>
        </w:rPr>
        <w:t xml:space="preserve">, atbildot uz jautājumu, </w:t>
      </w:r>
      <w:r w:rsidRPr="004B23CE">
        <w:rPr>
          <w:rFonts w:cs="Times New Roman"/>
          <w:b/>
          <w:sz w:val="26"/>
          <w:szCs w:val="26"/>
        </w:rPr>
        <w:t>vai respondents personiski būtu ar mieru dot kukuli valsts amatpersonai</w:t>
      </w:r>
      <w:r w:rsidRPr="004B23CE">
        <w:rPr>
          <w:rFonts w:cs="Times New Roman"/>
          <w:sz w:val="26"/>
          <w:szCs w:val="26"/>
        </w:rPr>
        <w:t xml:space="preserve">, ja tas būtu būtiski viņa paša vai viņa radinieku interesēm un problēma tiktu atrisināta, </w:t>
      </w:r>
      <w:r w:rsidR="00646C98">
        <w:rPr>
          <w:rFonts w:cs="Times New Roman"/>
          <w:sz w:val="26"/>
          <w:szCs w:val="26"/>
        </w:rPr>
        <w:t>48,5</w:t>
      </w:r>
      <w:r w:rsidRPr="004B23CE">
        <w:rPr>
          <w:rFonts w:cs="Times New Roman"/>
          <w:sz w:val="26"/>
          <w:szCs w:val="26"/>
        </w:rPr>
        <w:t xml:space="preserve">% respondentu norādīja, ka nekādos apstākļos nedotu kukuli valsts amatpersonai, “vairāk nē nekā jā” – </w:t>
      </w:r>
      <w:r w:rsidR="00646C98">
        <w:rPr>
          <w:rFonts w:cs="Times New Roman"/>
          <w:sz w:val="26"/>
          <w:szCs w:val="26"/>
        </w:rPr>
        <w:t>22,2</w:t>
      </w:r>
      <w:r w:rsidRPr="004B23CE">
        <w:rPr>
          <w:rFonts w:cs="Times New Roman"/>
          <w:sz w:val="26"/>
          <w:szCs w:val="26"/>
        </w:rPr>
        <w:t xml:space="preserve">%, “vairāk jā nekā nē” – </w:t>
      </w:r>
      <w:r w:rsidR="00646C98">
        <w:rPr>
          <w:rFonts w:cs="Times New Roman"/>
          <w:sz w:val="26"/>
          <w:szCs w:val="26"/>
        </w:rPr>
        <w:t>14,4</w:t>
      </w:r>
      <w:r w:rsidRPr="004B23CE">
        <w:rPr>
          <w:rFonts w:cs="Times New Roman"/>
          <w:sz w:val="26"/>
          <w:szCs w:val="26"/>
        </w:rPr>
        <w:t xml:space="preserve">%, uz gatavību dot amatpersonai kukuli apstiprinoši atbildēja </w:t>
      </w:r>
      <w:r w:rsidR="00646C98">
        <w:rPr>
          <w:rFonts w:cs="Times New Roman"/>
          <w:sz w:val="26"/>
          <w:szCs w:val="26"/>
        </w:rPr>
        <w:t>8,9</w:t>
      </w:r>
      <w:r w:rsidRPr="004B23CE">
        <w:rPr>
          <w:rFonts w:cs="Times New Roman"/>
          <w:sz w:val="26"/>
          <w:szCs w:val="26"/>
        </w:rPr>
        <w:t>% respondentu</w:t>
      </w:r>
      <w:r w:rsidR="00A513BC">
        <w:rPr>
          <w:rFonts w:cs="Times New Roman"/>
          <w:sz w:val="26"/>
          <w:szCs w:val="26"/>
        </w:rPr>
        <w:t>.</w:t>
      </w:r>
      <w:r w:rsidRPr="004B23CE">
        <w:rPr>
          <w:rFonts w:cs="Times New Roman"/>
          <w:sz w:val="26"/>
          <w:szCs w:val="26"/>
        </w:rPr>
        <w:t xml:space="preserve"> </w:t>
      </w:r>
    </w:p>
    <w:p w14:paraId="42D0F22E" w14:textId="77777777" w:rsidR="004B23CE" w:rsidRPr="004B23CE" w:rsidRDefault="004B23CE" w:rsidP="004B23CE">
      <w:pPr>
        <w:ind w:firstLine="709"/>
        <w:rPr>
          <w:rFonts w:cs="Times New Roman"/>
          <w:color w:val="000000" w:themeColor="text1"/>
          <w:sz w:val="26"/>
          <w:szCs w:val="26"/>
        </w:rPr>
      </w:pPr>
      <w:r w:rsidRPr="004B23CE">
        <w:rPr>
          <w:rFonts w:cs="Times New Roman"/>
          <w:color w:val="000000" w:themeColor="text1"/>
          <w:sz w:val="26"/>
          <w:szCs w:val="26"/>
        </w:rPr>
        <w:t xml:space="preserve">Atbildot uz jautājumu, kā ir mainījušās problēmas, kas saistās ar </w:t>
      </w:r>
      <w:r w:rsidRPr="004B23CE">
        <w:rPr>
          <w:rFonts w:cs="Times New Roman"/>
          <w:b/>
          <w:color w:val="000000" w:themeColor="text1"/>
          <w:sz w:val="26"/>
          <w:szCs w:val="26"/>
        </w:rPr>
        <w:t>augsta līmeņa korupciju</w:t>
      </w:r>
      <w:r w:rsidRPr="004B23CE">
        <w:rPr>
          <w:rFonts w:cs="Times New Roman"/>
          <w:color w:val="000000" w:themeColor="text1"/>
          <w:sz w:val="26"/>
          <w:szCs w:val="26"/>
        </w:rPr>
        <w:t xml:space="preserve">, </w:t>
      </w:r>
      <w:r w:rsidR="00291510">
        <w:rPr>
          <w:rFonts w:cs="Times New Roman"/>
          <w:color w:val="000000" w:themeColor="text1"/>
          <w:sz w:val="26"/>
          <w:szCs w:val="26"/>
        </w:rPr>
        <w:t>30</w:t>
      </w:r>
      <w:r w:rsidRPr="004B23CE">
        <w:rPr>
          <w:rFonts w:cs="Times New Roman"/>
          <w:color w:val="000000" w:themeColor="text1"/>
          <w:sz w:val="26"/>
          <w:szCs w:val="26"/>
        </w:rPr>
        <w:t>,</w:t>
      </w:r>
      <w:r w:rsidR="00291510">
        <w:rPr>
          <w:rFonts w:cs="Times New Roman"/>
          <w:color w:val="000000" w:themeColor="text1"/>
          <w:sz w:val="26"/>
          <w:szCs w:val="26"/>
        </w:rPr>
        <w:t>4</w:t>
      </w:r>
      <w:r w:rsidRPr="004B23CE">
        <w:rPr>
          <w:rFonts w:cs="Times New Roman"/>
          <w:color w:val="000000" w:themeColor="text1"/>
          <w:sz w:val="26"/>
          <w:szCs w:val="26"/>
        </w:rPr>
        <w:t xml:space="preserve">% respondentu norāda, ka situācija ir palikusi nemainīga, </w:t>
      </w:r>
      <w:r w:rsidR="00291510">
        <w:rPr>
          <w:rFonts w:cs="Times New Roman"/>
          <w:color w:val="000000" w:themeColor="text1"/>
          <w:sz w:val="26"/>
          <w:szCs w:val="26"/>
        </w:rPr>
        <w:t>8</w:t>
      </w:r>
      <w:r w:rsidRPr="004B23CE">
        <w:rPr>
          <w:rFonts w:cs="Times New Roman"/>
          <w:color w:val="000000" w:themeColor="text1"/>
          <w:sz w:val="26"/>
          <w:szCs w:val="26"/>
        </w:rPr>
        <w:t xml:space="preserve">,7% norāda, ka augsta līmeņa korupcija ir nedaudz samazinājusies, </w:t>
      </w:r>
      <w:r w:rsidR="00291510">
        <w:rPr>
          <w:rFonts w:cs="Times New Roman"/>
          <w:color w:val="000000" w:themeColor="text1"/>
          <w:sz w:val="26"/>
          <w:szCs w:val="26"/>
        </w:rPr>
        <w:t>0,7</w:t>
      </w:r>
      <w:r w:rsidRPr="004B23CE">
        <w:rPr>
          <w:rFonts w:cs="Times New Roman"/>
          <w:color w:val="000000" w:themeColor="text1"/>
          <w:sz w:val="26"/>
          <w:szCs w:val="26"/>
        </w:rPr>
        <w:t xml:space="preserve">% norāda, ka augsta </w:t>
      </w:r>
      <w:r w:rsidRPr="004B23CE">
        <w:rPr>
          <w:rFonts w:cs="Times New Roman"/>
          <w:color w:val="000000" w:themeColor="text1"/>
          <w:sz w:val="26"/>
          <w:szCs w:val="26"/>
        </w:rPr>
        <w:lastRenderedPageBreak/>
        <w:t>līmeņa korupcija ir ievērojami samazinājusies, tajā pat laikā 16,</w:t>
      </w:r>
      <w:r w:rsidR="00291510">
        <w:rPr>
          <w:rFonts w:cs="Times New Roman"/>
          <w:color w:val="000000" w:themeColor="text1"/>
          <w:sz w:val="26"/>
          <w:szCs w:val="26"/>
        </w:rPr>
        <w:t>2</w:t>
      </w:r>
      <w:r w:rsidRPr="004B23CE">
        <w:rPr>
          <w:rFonts w:cs="Times New Roman"/>
          <w:color w:val="000000" w:themeColor="text1"/>
          <w:sz w:val="26"/>
          <w:szCs w:val="26"/>
        </w:rPr>
        <w:t xml:space="preserve">% aptaujāto uzskata, ka augsta līmeņa korupcija ir  ievērojami palielinājusies, </w:t>
      </w:r>
      <w:r w:rsidR="00291510">
        <w:rPr>
          <w:rFonts w:cs="Times New Roman"/>
          <w:color w:val="000000" w:themeColor="text1"/>
          <w:sz w:val="26"/>
          <w:szCs w:val="26"/>
        </w:rPr>
        <w:t>18,9</w:t>
      </w:r>
      <w:r w:rsidRPr="004B23CE">
        <w:rPr>
          <w:rFonts w:cs="Times New Roman"/>
          <w:color w:val="000000" w:themeColor="text1"/>
          <w:sz w:val="26"/>
          <w:szCs w:val="26"/>
        </w:rPr>
        <w:t xml:space="preserve">% uzskata, ka nedaudz palielinājusies. </w:t>
      </w:r>
    </w:p>
    <w:p w14:paraId="42D0F22F" w14:textId="77777777" w:rsidR="004B23CE" w:rsidRPr="004B23CE" w:rsidRDefault="004B23CE" w:rsidP="004B23CE">
      <w:pPr>
        <w:ind w:firstLine="709"/>
        <w:rPr>
          <w:rFonts w:cs="Times New Roman"/>
          <w:sz w:val="26"/>
          <w:szCs w:val="26"/>
        </w:rPr>
      </w:pPr>
      <w:r w:rsidRPr="004B23CE">
        <w:rPr>
          <w:rFonts w:cs="Times New Roman"/>
          <w:sz w:val="26"/>
          <w:szCs w:val="26"/>
        </w:rPr>
        <w:t xml:space="preserve">Identisks vērtējums ir arī par </w:t>
      </w:r>
      <w:r w:rsidRPr="004B23CE">
        <w:rPr>
          <w:rFonts w:cs="Times New Roman"/>
          <w:b/>
          <w:sz w:val="26"/>
          <w:szCs w:val="26"/>
        </w:rPr>
        <w:t>zemāka līmeņa kukuļošanu</w:t>
      </w:r>
      <w:r w:rsidRPr="004B23CE">
        <w:rPr>
          <w:rFonts w:cs="Times New Roman"/>
          <w:sz w:val="26"/>
          <w:szCs w:val="26"/>
        </w:rPr>
        <w:t xml:space="preserve"> no respondentu puses. </w:t>
      </w:r>
      <w:r w:rsidR="00291510">
        <w:rPr>
          <w:rFonts w:cs="Times New Roman"/>
          <w:sz w:val="26"/>
          <w:szCs w:val="26"/>
        </w:rPr>
        <w:t>Trešā</w:t>
      </w:r>
      <w:r w:rsidRPr="004B23CE">
        <w:rPr>
          <w:rFonts w:cs="Times New Roman"/>
          <w:sz w:val="26"/>
          <w:szCs w:val="26"/>
        </w:rPr>
        <w:t xml:space="preserve"> daļa (</w:t>
      </w:r>
      <w:r w:rsidR="00291510">
        <w:rPr>
          <w:rFonts w:cs="Times New Roman"/>
          <w:sz w:val="26"/>
          <w:szCs w:val="26"/>
        </w:rPr>
        <w:t>33</w:t>
      </w:r>
      <w:r w:rsidRPr="004B23CE">
        <w:rPr>
          <w:rFonts w:cs="Times New Roman"/>
          <w:sz w:val="26"/>
          <w:szCs w:val="26"/>
        </w:rPr>
        <w:t xml:space="preserve">,9%) no respondentiem norāda, ka nekas nav mainījies un uztvere par zemākā līmeņa korupciju ir uzlabojusies pozitīvi tikai </w:t>
      </w:r>
      <w:r w:rsidR="00291510">
        <w:rPr>
          <w:rFonts w:cs="Times New Roman"/>
          <w:sz w:val="26"/>
          <w:szCs w:val="26"/>
        </w:rPr>
        <w:t>15,3</w:t>
      </w:r>
      <w:r w:rsidRPr="004B23CE">
        <w:rPr>
          <w:rFonts w:cs="Times New Roman"/>
          <w:sz w:val="26"/>
          <w:szCs w:val="26"/>
        </w:rPr>
        <w:t xml:space="preserve">% sabiedrības, savukārt </w:t>
      </w:r>
      <w:r w:rsidR="00291510">
        <w:rPr>
          <w:rFonts w:cs="Times New Roman"/>
          <w:sz w:val="26"/>
          <w:szCs w:val="26"/>
        </w:rPr>
        <w:t>24</w:t>
      </w:r>
      <w:r w:rsidRPr="004B23CE">
        <w:rPr>
          <w:rFonts w:cs="Times New Roman"/>
          <w:sz w:val="26"/>
          <w:szCs w:val="26"/>
        </w:rPr>
        <w:t>,2% uzskata, ka tā ir “nedaudz palielinājusies” vai “lielā mērā palielinājusies”.</w:t>
      </w:r>
    </w:p>
    <w:p w14:paraId="42D0F230" w14:textId="77777777" w:rsidR="004B23CE" w:rsidRPr="004B23CE" w:rsidRDefault="004B23CE" w:rsidP="004B23CE">
      <w:pPr>
        <w:ind w:firstLine="709"/>
        <w:rPr>
          <w:rFonts w:cs="Times New Roman"/>
          <w:b/>
          <w:sz w:val="26"/>
          <w:szCs w:val="26"/>
        </w:rPr>
      </w:pPr>
      <w:r w:rsidRPr="004B23CE">
        <w:rPr>
          <w:sz w:val="26"/>
          <w:szCs w:val="26"/>
        </w:rPr>
        <w:t xml:space="preserve">Atbildot uz jautājumu, kuri pasākumi varētu būt svarīgi korupcijas samazināšanā, </w:t>
      </w:r>
      <w:r w:rsidRPr="004B23CE">
        <w:rPr>
          <w:rFonts w:cs="Times New Roman"/>
          <w:sz w:val="26"/>
          <w:szCs w:val="26"/>
        </w:rPr>
        <w:t xml:space="preserve">vairāk kā </w:t>
      </w:r>
      <w:r w:rsidR="00291510">
        <w:rPr>
          <w:rFonts w:cs="Times New Roman"/>
          <w:sz w:val="26"/>
          <w:szCs w:val="26"/>
        </w:rPr>
        <w:t>86,6</w:t>
      </w:r>
      <w:r w:rsidRPr="004B23CE">
        <w:rPr>
          <w:rFonts w:cs="Times New Roman"/>
          <w:sz w:val="26"/>
          <w:szCs w:val="26"/>
        </w:rPr>
        <w:t>% respondentu atzīmēja “tas ir svarīgi” un “tas ir ļoti svarīgi” – “tiesām jāpiespriež bargāki sodi kukuļņēmējiem un kukuļdevējiem”, kā otrais svarīgākais pasākums – “stingrāka publisko iepirkumu kontrole” (</w:t>
      </w:r>
      <w:r w:rsidR="00291510">
        <w:rPr>
          <w:rFonts w:cs="Times New Roman"/>
          <w:sz w:val="26"/>
          <w:szCs w:val="26"/>
        </w:rPr>
        <w:t>84</w:t>
      </w:r>
      <w:r w:rsidRPr="004B23CE">
        <w:rPr>
          <w:rFonts w:cs="Times New Roman"/>
          <w:sz w:val="26"/>
          <w:szCs w:val="26"/>
        </w:rPr>
        <w:t>,</w:t>
      </w:r>
      <w:r w:rsidR="00291510">
        <w:rPr>
          <w:rFonts w:cs="Times New Roman"/>
          <w:sz w:val="26"/>
          <w:szCs w:val="26"/>
        </w:rPr>
        <w:t>7</w:t>
      </w:r>
      <w:r w:rsidRPr="004B23CE">
        <w:rPr>
          <w:rFonts w:cs="Times New Roman"/>
          <w:sz w:val="26"/>
          <w:szCs w:val="26"/>
        </w:rPr>
        <w:t>%),</w:t>
      </w:r>
      <w:r w:rsidRPr="004B23CE">
        <w:rPr>
          <w:rFonts w:cs="Times New Roman"/>
          <w:b/>
          <w:sz w:val="26"/>
          <w:szCs w:val="26"/>
        </w:rPr>
        <w:t xml:space="preserve"> sekojoši – “pastiprināta partiju privāto </w:t>
      </w:r>
      <w:r w:rsidRPr="004B23CE">
        <w:rPr>
          <w:rFonts w:cs="Times New Roman"/>
          <w:sz w:val="26"/>
          <w:szCs w:val="26"/>
        </w:rPr>
        <w:t>finansētāju</w:t>
      </w:r>
      <w:r w:rsidRPr="004B23CE">
        <w:rPr>
          <w:rFonts w:cs="Times New Roman"/>
          <w:b/>
          <w:sz w:val="26"/>
          <w:szCs w:val="26"/>
        </w:rPr>
        <w:t xml:space="preserve"> kontrole un ierobežošana” (</w:t>
      </w:r>
      <w:r w:rsidR="00291510">
        <w:rPr>
          <w:rFonts w:cs="Times New Roman"/>
          <w:b/>
          <w:sz w:val="26"/>
          <w:szCs w:val="26"/>
        </w:rPr>
        <w:t>78</w:t>
      </w:r>
      <w:r w:rsidRPr="004B23CE">
        <w:rPr>
          <w:rFonts w:cs="Times New Roman"/>
          <w:b/>
          <w:sz w:val="26"/>
          <w:szCs w:val="26"/>
        </w:rPr>
        <w:t>%).</w:t>
      </w:r>
    </w:p>
    <w:p w14:paraId="42D0F231" w14:textId="77777777" w:rsidR="004B23CE" w:rsidRPr="004B23CE" w:rsidRDefault="004B23CE" w:rsidP="004B23CE">
      <w:pPr>
        <w:autoSpaceDE w:val="0"/>
        <w:autoSpaceDN w:val="0"/>
        <w:adjustRightInd w:val="0"/>
        <w:ind w:firstLine="709"/>
        <w:rPr>
          <w:rFonts w:cs="Times New Roman"/>
          <w:b/>
          <w:bCs/>
          <w:color w:val="000000"/>
          <w:sz w:val="26"/>
          <w:szCs w:val="26"/>
        </w:rPr>
      </w:pPr>
      <w:r w:rsidRPr="004B23CE">
        <w:rPr>
          <w:rFonts w:cs="Times New Roman"/>
          <w:sz w:val="26"/>
          <w:szCs w:val="26"/>
        </w:rPr>
        <w:t>Biroja 2016.gadā pasūtītajā</w:t>
      </w:r>
      <w:r w:rsidRPr="004B23CE">
        <w:rPr>
          <w:rFonts w:cs="Times New Roman"/>
          <w:b/>
          <w:sz w:val="26"/>
          <w:szCs w:val="26"/>
        </w:rPr>
        <w:t xml:space="preserve"> </w:t>
      </w:r>
      <w:r w:rsidR="00C92F85">
        <w:rPr>
          <w:rFonts w:cs="Times New Roman"/>
          <w:color w:val="000000" w:themeColor="text1"/>
          <w:sz w:val="26"/>
          <w:szCs w:val="26"/>
        </w:rPr>
        <w:t>u</w:t>
      </w:r>
      <w:r w:rsidRPr="00C92F85">
        <w:rPr>
          <w:rFonts w:cs="Times New Roman"/>
          <w:color w:val="000000" w:themeColor="text1"/>
          <w:sz w:val="26"/>
          <w:szCs w:val="26"/>
        </w:rPr>
        <w:t>zņēmēju socioloģiskajā aptaujā</w:t>
      </w:r>
      <w:r w:rsidR="00E779A8" w:rsidRPr="00C92F85">
        <w:rPr>
          <w:rStyle w:val="FootnoteReference"/>
          <w:rFonts w:cs="Times New Roman"/>
          <w:color w:val="000000" w:themeColor="text1"/>
          <w:sz w:val="26"/>
          <w:szCs w:val="26"/>
        </w:rPr>
        <w:footnoteReference w:id="3"/>
      </w:r>
      <w:r w:rsidRPr="00C92F85">
        <w:rPr>
          <w:rFonts w:cs="Times New Roman"/>
          <w:b/>
          <w:color w:val="000000" w:themeColor="text1"/>
          <w:sz w:val="26"/>
          <w:szCs w:val="26"/>
        </w:rPr>
        <w:t xml:space="preserve">, </w:t>
      </w:r>
      <w:r w:rsidRPr="004B23CE">
        <w:rPr>
          <w:rFonts w:cs="Times New Roman"/>
          <w:sz w:val="26"/>
          <w:szCs w:val="26"/>
        </w:rPr>
        <w:t>atbildot uz jautājumu,</w:t>
      </w:r>
      <w:r w:rsidRPr="004B23CE">
        <w:rPr>
          <w:rFonts w:cs="Times New Roman"/>
          <w:b/>
          <w:sz w:val="26"/>
          <w:szCs w:val="26"/>
        </w:rPr>
        <w:t xml:space="preserve"> </w:t>
      </w:r>
      <w:r w:rsidRPr="004B23CE">
        <w:rPr>
          <w:rFonts w:cs="Times New Roman"/>
          <w:color w:val="000000"/>
          <w:sz w:val="26"/>
          <w:szCs w:val="26"/>
        </w:rPr>
        <w:t xml:space="preserve">kādi, Jūsuprāt, ir </w:t>
      </w:r>
      <w:r w:rsidRPr="004B23CE">
        <w:rPr>
          <w:rFonts w:cs="Times New Roman"/>
          <w:b/>
          <w:bCs/>
          <w:color w:val="000000"/>
          <w:sz w:val="26"/>
          <w:szCs w:val="26"/>
        </w:rPr>
        <w:t>galvenie korupciju veicinošie apstākļi valsts un pašvaldību iestādēs</w:t>
      </w:r>
      <w:r w:rsidRPr="004B23CE">
        <w:rPr>
          <w:rFonts w:cs="Times New Roman"/>
          <w:color w:val="000000"/>
          <w:sz w:val="26"/>
          <w:szCs w:val="26"/>
        </w:rPr>
        <w:t xml:space="preserve"> populārākās atbildes bija: draugu un paziņu būšana (9,2%), amatpersonu alkatība, mantrausība un savtīgums (7,2%) atbildības trūkums, nav valstiska domāšana (6,7%), birokrātija, procedūru sarežģītība (6,7%), atklātības, caurspīdīguma trūkums (6,2%), ekonomiskā situācija valstī (6%), </w:t>
      </w:r>
      <w:proofErr w:type="spellStart"/>
      <w:r w:rsidRPr="004B23CE">
        <w:rPr>
          <w:rFonts w:cs="Times New Roman"/>
          <w:color w:val="000000"/>
          <w:sz w:val="26"/>
          <w:szCs w:val="26"/>
        </w:rPr>
        <w:t>korumpanti</w:t>
      </w:r>
      <w:proofErr w:type="spellEnd"/>
      <w:r w:rsidRPr="004B23CE">
        <w:rPr>
          <w:rFonts w:cs="Times New Roman"/>
          <w:color w:val="000000"/>
          <w:sz w:val="26"/>
          <w:szCs w:val="26"/>
        </w:rPr>
        <w:t xml:space="preserve"> netiek reāli sodīti, nesodāmības</w:t>
      </w:r>
      <w:r w:rsidRPr="004B23CE">
        <w:rPr>
          <w:rFonts w:cs="Times New Roman"/>
          <w:b/>
          <w:bCs/>
          <w:color w:val="000000"/>
          <w:sz w:val="26"/>
          <w:szCs w:val="26"/>
        </w:rPr>
        <w:t xml:space="preserve"> </w:t>
      </w:r>
      <w:r w:rsidRPr="004B23CE">
        <w:rPr>
          <w:rFonts w:cs="Times New Roman"/>
          <w:color w:val="000000"/>
          <w:sz w:val="26"/>
          <w:szCs w:val="26"/>
        </w:rPr>
        <w:t>apziņa (5,5%), kontroles trūkums, visatļautība (5,4%), a</w:t>
      </w:r>
      <w:r w:rsidRPr="004B23CE">
        <w:rPr>
          <w:rFonts w:cs="Times New Roman"/>
          <w:color w:val="222222"/>
          <w:sz w:val="26"/>
          <w:szCs w:val="26"/>
        </w:rPr>
        <w:t>ugsti nodokļi, nesakārtota nodokļu sistēma (5,4%), bez korupcijas procesi lēni vai nenotiek vispār (4,9%), amatos ir neprofesionāli un nepiemēroti cilvēki (4,7%), amatpersonas, partijas cieši saistītas ar uzņēmējiem (4%), cilvēki paši piedāvā kukuļus, ja dod, tad ņem (4%), tradīcija, tā pieņemts (Padomju laika domāšana, kultūra) (3.1%), nesakārtota likumdošana (atstāti caurumi, vieta interpretācijai) (3.1%), nabadzība, zems dzīves līmenis (2.5%), nav politiskās gribas apkarot korupciju, korupciju veicinoša vide (2.5%), iepirkumu necaurspīdīgums,</w:t>
      </w:r>
      <w:r w:rsidRPr="004B23CE">
        <w:rPr>
          <w:rFonts w:cs="Times New Roman"/>
          <w:b/>
          <w:bCs/>
          <w:color w:val="000000"/>
          <w:sz w:val="26"/>
          <w:szCs w:val="26"/>
        </w:rPr>
        <w:t xml:space="preserve"> </w:t>
      </w:r>
      <w:r w:rsidRPr="004B23CE">
        <w:rPr>
          <w:rFonts w:cs="Times New Roman"/>
          <w:color w:val="222222"/>
          <w:sz w:val="26"/>
          <w:szCs w:val="26"/>
        </w:rPr>
        <w:t>nesakārtotība (2.3%), augstas izmaksas, kārtojot dokumentus, atļaujas (2,2%), augstāko amatpersonu piemērs (2.2%).</w:t>
      </w:r>
    </w:p>
    <w:p w14:paraId="42D0F232" w14:textId="77777777" w:rsidR="004B23CE" w:rsidRPr="004B23CE" w:rsidRDefault="004B23CE" w:rsidP="004B23CE">
      <w:pPr>
        <w:autoSpaceDE w:val="0"/>
        <w:autoSpaceDN w:val="0"/>
        <w:adjustRightInd w:val="0"/>
        <w:rPr>
          <w:rFonts w:cs="Times New Roman"/>
          <w:color w:val="222222"/>
          <w:sz w:val="26"/>
          <w:szCs w:val="26"/>
        </w:rPr>
      </w:pPr>
      <w:r w:rsidRPr="004B23CE">
        <w:rPr>
          <w:rFonts w:cs="Times New Roman"/>
          <w:sz w:val="26"/>
          <w:szCs w:val="26"/>
        </w:rPr>
        <w:t>Tajā pat laikā, atbildot uz jautājumu</w:t>
      </w:r>
      <w:r w:rsidRPr="004B23CE">
        <w:rPr>
          <w:rFonts w:cs="Times New Roman"/>
          <w:b/>
          <w:sz w:val="26"/>
          <w:szCs w:val="26"/>
        </w:rPr>
        <w:t xml:space="preserve"> par uzņēmēja gatavību dot kukuli uzņēmuma interesēs, </w:t>
      </w:r>
      <w:r w:rsidRPr="004B23CE">
        <w:rPr>
          <w:rFonts w:cs="Times New Roman"/>
          <w:sz w:val="26"/>
          <w:szCs w:val="26"/>
        </w:rPr>
        <w:t>ja tādā veidā varētu atrisināt jautājumu/problēmu,</w:t>
      </w:r>
      <w:r w:rsidRPr="004B23CE">
        <w:rPr>
          <w:rFonts w:cs="Times New Roman"/>
          <w:b/>
          <w:sz w:val="26"/>
          <w:szCs w:val="26"/>
        </w:rPr>
        <w:t xml:space="preserve"> </w:t>
      </w:r>
      <w:r w:rsidRPr="004B23CE">
        <w:rPr>
          <w:rFonts w:cs="Times New Roman"/>
          <w:color w:val="222222"/>
          <w:sz w:val="26"/>
          <w:szCs w:val="26"/>
        </w:rPr>
        <w:t>vairāk kā puse uzņēmumu pārstāvji atbildēja “jā” (25%) un vairāk jā, nekā nē” (32,9%), ka šie uzņēmumi dotu kukuli, 13,8% uzskata, ka vairāk nē, nekā jā, bet 17,4% uzskata, ka kukuli nedotu, 17,4% bija grūti pateikt, kā rīkotos.</w:t>
      </w:r>
    </w:p>
    <w:p w14:paraId="42D0F233" w14:textId="77777777" w:rsidR="004B23CE" w:rsidRPr="004B23CE" w:rsidRDefault="004B23CE" w:rsidP="004B23CE">
      <w:pPr>
        <w:rPr>
          <w:color w:val="000000" w:themeColor="text1"/>
          <w:sz w:val="26"/>
          <w:szCs w:val="26"/>
        </w:rPr>
      </w:pPr>
      <w:r w:rsidRPr="004B23CE">
        <w:rPr>
          <w:color w:val="000000" w:themeColor="text1"/>
          <w:sz w:val="26"/>
          <w:szCs w:val="26"/>
        </w:rPr>
        <w:t xml:space="preserve">Korupcijas uztveres indeksā, kuru nosaka starptautiskā pretkorupcijas organizācija </w:t>
      </w:r>
      <w:proofErr w:type="spellStart"/>
      <w:r w:rsidRPr="004B23CE">
        <w:rPr>
          <w:i/>
          <w:color w:val="000000" w:themeColor="text1"/>
          <w:sz w:val="26"/>
          <w:szCs w:val="26"/>
        </w:rPr>
        <w:t>Transparency</w:t>
      </w:r>
      <w:proofErr w:type="spellEnd"/>
      <w:r w:rsidRPr="004B23CE">
        <w:rPr>
          <w:i/>
          <w:color w:val="000000" w:themeColor="text1"/>
          <w:sz w:val="26"/>
          <w:szCs w:val="26"/>
        </w:rPr>
        <w:t xml:space="preserve"> </w:t>
      </w:r>
      <w:proofErr w:type="spellStart"/>
      <w:r w:rsidRPr="004B23CE">
        <w:rPr>
          <w:i/>
          <w:color w:val="000000" w:themeColor="text1"/>
          <w:sz w:val="26"/>
          <w:szCs w:val="26"/>
        </w:rPr>
        <w:t>International</w:t>
      </w:r>
      <w:proofErr w:type="spellEnd"/>
      <w:r w:rsidRPr="004B23CE">
        <w:rPr>
          <w:i/>
          <w:color w:val="000000" w:themeColor="text1"/>
          <w:sz w:val="26"/>
          <w:szCs w:val="26"/>
        </w:rPr>
        <w:t>,</w:t>
      </w:r>
      <w:r w:rsidRPr="004B23CE">
        <w:rPr>
          <w:color w:val="000000" w:themeColor="text1"/>
          <w:sz w:val="26"/>
          <w:szCs w:val="26"/>
        </w:rPr>
        <w:t xml:space="preserve"> 2016.gadā Latvija</w:t>
      </w:r>
      <w:r w:rsidRPr="004B23CE">
        <w:rPr>
          <w:i/>
          <w:color w:val="000000" w:themeColor="text1"/>
          <w:sz w:val="26"/>
          <w:szCs w:val="26"/>
        </w:rPr>
        <w:t xml:space="preserve">, </w:t>
      </w:r>
      <w:r w:rsidRPr="004B23CE">
        <w:rPr>
          <w:color w:val="000000" w:themeColor="text1"/>
          <w:sz w:val="26"/>
          <w:szCs w:val="26"/>
        </w:rPr>
        <w:t>saņēma 57 punktus no 100, ieņemot 44.vietu starp 176 valstīm,</w:t>
      </w:r>
      <w:r w:rsidRPr="004B23CE">
        <w:rPr>
          <w:color w:val="000000" w:themeColor="text1"/>
          <w:sz w:val="26"/>
          <w:szCs w:val="26"/>
          <w:vertAlign w:val="superscript"/>
        </w:rPr>
        <w:footnoteReference w:id="4"/>
      </w:r>
      <w:r w:rsidRPr="004B23CE">
        <w:rPr>
          <w:color w:val="000000" w:themeColor="text1"/>
          <w:sz w:val="26"/>
          <w:szCs w:val="26"/>
        </w:rPr>
        <w:t xml:space="preserve"> kas ir augstākais vērtējums kopš 1998.gada. </w:t>
      </w:r>
    </w:p>
    <w:p w14:paraId="42D0F234" w14:textId="77777777" w:rsidR="004B23CE" w:rsidRPr="004B23CE" w:rsidRDefault="004B23CE" w:rsidP="004B23CE">
      <w:pPr>
        <w:ind w:firstLine="709"/>
        <w:rPr>
          <w:color w:val="000000" w:themeColor="text1"/>
          <w:sz w:val="26"/>
          <w:szCs w:val="26"/>
        </w:rPr>
      </w:pPr>
      <w:r w:rsidRPr="004B23CE">
        <w:rPr>
          <w:color w:val="000000" w:themeColor="text1"/>
          <w:sz w:val="26"/>
          <w:szCs w:val="26"/>
        </w:rPr>
        <w:t xml:space="preserve">Minētie pētījumi norāda uz vairākām aktuālām problēmām: </w:t>
      </w:r>
    </w:p>
    <w:p w14:paraId="42D0F235" w14:textId="77777777" w:rsidR="004B23CE" w:rsidRPr="004B23CE" w:rsidRDefault="004B23CE" w:rsidP="004B23CE">
      <w:pPr>
        <w:numPr>
          <w:ilvl w:val="0"/>
          <w:numId w:val="49"/>
        </w:numPr>
        <w:tabs>
          <w:tab w:val="left" w:pos="993"/>
        </w:tabs>
        <w:ind w:left="0" w:firstLine="709"/>
        <w:contextualSpacing/>
        <w:rPr>
          <w:b/>
          <w:color w:val="000000" w:themeColor="text1"/>
          <w:sz w:val="26"/>
          <w:szCs w:val="26"/>
        </w:rPr>
      </w:pPr>
      <w:r w:rsidRPr="004B23CE">
        <w:rPr>
          <w:color w:val="000000" w:themeColor="text1"/>
          <w:sz w:val="26"/>
          <w:szCs w:val="26"/>
        </w:rPr>
        <w:t>ņemot vērā gan sabiedrības locekļu, gan uzņēmēju visai lielo gatavību risināt sev aktuālus jautājumus ar koruptīvām metodēm (kukuļu palīdzību), secināms, ka sabiedrībai (arī uzņēmējiem) trūkst izpratnes par korupcijas cēloņiem un negatīvajām sekām, kas skar visu sabiedrību;</w:t>
      </w:r>
    </w:p>
    <w:p w14:paraId="42D0F236" w14:textId="77777777" w:rsidR="004B23CE" w:rsidRPr="004B23CE" w:rsidRDefault="004B23CE" w:rsidP="004B23CE">
      <w:pPr>
        <w:numPr>
          <w:ilvl w:val="0"/>
          <w:numId w:val="49"/>
        </w:numPr>
        <w:tabs>
          <w:tab w:val="left" w:pos="993"/>
        </w:tabs>
        <w:ind w:left="0" w:firstLine="709"/>
        <w:contextualSpacing/>
        <w:rPr>
          <w:b/>
          <w:color w:val="000000" w:themeColor="text1"/>
          <w:sz w:val="26"/>
          <w:szCs w:val="26"/>
        </w:rPr>
      </w:pPr>
      <w:r w:rsidRPr="004B23CE">
        <w:rPr>
          <w:color w:val="000000" w:themeColor="text1"/>
          <w:sz w:val="26"/>
          <w:szCs w:val="26"/>
        </w:rPr>
        <w:t xml:space="preserve">gan publiskajā, gan privātajā sektorā trūkst gribas un izpratnes par pretkorupcijas pasākumu nepieciešamību. Līdz šim pietiekami efektīvi nedarbojas </w:t>
      </w:r>
      <w:r w:rsidRPr="004B23CE">
        <w:rPr>
          <w:color w:val="000000" w:themeColor="text1"/>
          <w:sz w:val="26"/>
          <w:szCs w:val="26"/>
        </w:rPr>
        <w:lastRenderedPageBreak/>
        <w:t>publiskas personas institūciju iekšējā pretkorupcijas kontroles sistēma, tādējādi joprojām nepieciešama spēcīga ārējā kontrole, ko savas kapacitātes robežās nodrošina Birojs.</w:t>
      </w:r>
    </w:p>
    <w:p w14:paraId="42D0F237" w14:textId="77777777" w:rsidR="004B23CE" w:rsidRPr="004B23CE" w:rsidRDefault="004B23CE" w:rsidP="004B23CE">
      <w:pPr>
        <w:ind w:firstLine="709"/>
        <w:rPr>
          <w:color w:val="000000" w:themeColor="text1"/>
          <w:sz w:val="26"/>
          <w:szCs w:val="26"/>
        </w:rPr>
      </w:pPr>
      <w:r w:rsidRPr="004B23CE">
        <w:rPr>
          <w:color w:val="000000" w:themeColor="text1"/>
          <w:sz w:val="26"/>
          <w:szCs w:val="26"/>
        </w:rPr>
        <w:t>Saskaņā ar Pasaules Bankas datiem Latvija ir ierindota “augsto ienākumu” ekonomikas valstu grupā</w:t>
      </w:r>
      <w:r w:rsidRPr="004B23CE">
        <w:rPr>
          <w:color w:val="000000" w:themeColor="text1"/>
          <w:sz w:val="26"/>
          <w:szCs w:val="26"/>
          <w:vertAlign w:val="superscript"/>
        </w:rPr>
        <w:footnoteReference w:id="5"/>
      </w:r>
      <w:r w:rsidRPr="004B23CE">
        <w:rPr>
          <w:color w:val="000000" w:themeColor="text1"/>
          <w:sz w:val="26"/>
          <w:szCs w:val="26"/>
        </w:rPr>
        <w:t>. Latvijas ekonomika attīstās strauji, kas tiek panākts, balstoties uz progresīvām ekonomikas reformām, tomēr Latvijā joprojām saglabājas samērā augsts bezdarba līmenis</w:t>
      </w:r>
      <w:r w:rsidRPr="004B23CE">
        <w:rPr>
          <w:color w:val="000000" w:themeColor="text1"/>
          <w:sz w:val="26"/>
          <w:szCs w:val="26"/>
          <w:vertAlign w:val="superscript"/>
        </w:rPr>
        <w:footnoteReference w:id="6"/>
      </w:r>
      <w:r w:rsidRPr="004B23CE">
        <w:rPr>
          <w:color w:val="000000" w:themeColor="text1"/>
          <w:sz w:val="26"/>
          <w:szCs w:val="26"/>
        </w:rPr>
        <w:t xml:space="preserve">. Pasaules ekonomikas foruma veiktajā novērtējumā “Globālās konkurētspējas indekss 2017-2018” Latvija ierindota 54.vietā (iepriekš ieņēma 49.vietu) no 137 valstīm, galvenos </w:t>
      </w:r>
      <w:proofErr w:type="spellStart"/>
      <w:r w:rsidRPr="004B23CE">
        <w:rPr>
          <w:color w:val="000000" w:themeColor="text1"/>
          <w:sz w:val="26"/>
          <w:szCs w:val="26"/>
        </w:rPr>
        <w:t>problēmfaktorus</w:t>
      </w:r>
      <w:proofErr w:type="spellEnd"/>
      <w:r w:rsidRPr="004B23CE">
        <w:rPr>
          <w:color w:val="000000" w:themeColor="text1"/>
          <w:sz w:val="26"/>
          <w:szCs w:val="26"/>
        </w:rPr>
        <w:t xml:space="preserve"> norādot (prioritārā secībā): neefektīva valdības birokrātija, nodokļu likmes un nodokļu regulējums, kam seko korupcija, neadekvāti izglītots darbaspēks, nestabila politikas veidošanas prakse un pieeja finansējumam</w:t>
      </w:r>
      <w:r w:rsidRPr="004B23CE">
        <w:rPr>
          <w:color w:val="000000" w:themeColor="text1"/>
          <w:vertAlign w:val="superscript"/>
        </w:rPr>
        <w:footnoteReference w:id="7"/>
      </w:r>
      <w:r w:rsidRPr="004B23CE">
        <w:rPr>
          <w:color w:val="000000" w:themeColor="text1"/>
          <w:sz w:val="26"/>
          <w:szCs w:val="26"/>
        </w:rPr>
        <w:t>. Ievērojot minēto, var secināt, ka korupcijas ietekmei ir samērā nozīmīga loma Latvijas</w:t>
      </w:r>
      <w:r>
        <w:rPr>
          <w:color w:val="000000" w:themeColor="text1"/>
          <w:sz w:val="26"/>
          <w:szCs w:val="26"/>
        </w:rPr>
        <w:t xml:space="preserve"> konkurētspējas nodrošināšanai.</w:t>
      </w:r>
    </w:p>
    <w:p w14:paraId="42D0F238" w14:textId="77777777" w:rsidR="004B23CE" w:rsidRDefault="004B23CE" w:rsidP="004B23CE">
      <w:pPr>
        <w:tabs>
          <w:tab w:val="left" w:pos="709"/>
        </w:tabs>
        <w:rPr>
          <w:color w:val="000000" w:themeColor="text1"/>
          <w:sz w:val="26"/>
          <w:szCs w:val="26"/>
        </w:rPr>
      </w:pPr>
      <w:r w:rsidRPr="004B23CE">
        <w:rPr>
          <w:color w:val="000000" w:themeColor="text1"/>
          <w:sz w:val="26"/>
          <w:szCs w:val="26"/>
        </w:rPr>
        <w:t>Pasaules bankas “</w:t>
      </w:r>
      <w:proofErr w:type="spellStart"/>
      <w:r w:rsidRPr="004B23CE">
        <w:rPr>
          <w:color w:val="000000" w:themeColor="text1"/>
          <w:sz w:val="26"/>
          <w:szCs w:val="26"/>
        </w:rPr>
        <w:t>Doing</w:t>
      </w:r>
      <w:proofErr w:type="spellEnd"/>
      <w:r w:rsidRPr="004B23CE">
        <w:rPr>
          <w:color w:val="000000" w:themeColor="text1"/>
          <w:sz w:val="26"/>
          <w:szCs w:val="26"/>
        </w:rPr>
        <w:t xml:space="preserve"> </w:t>
      </w:r>
      <w:proofErr w:type="spellStart"/>
      <w:r w:rsidRPr="004B23CE">
        <w:rPr>
          <w:color w:val="000000" w:themeColor="text1"/>
          <w:sz w:val="26"/>
          <w:szCs w:val="26"/>
        </w:rPr>
        <w:t>Business</w:t>
      </w:r>
      <w:proofErr w:type="spellEnd"/>
      <w:r w:rsidRPr="004B23CE">
        <w:rPr>
          <w:color w:val="000000" w:themeColor="text1"/>
          <w:sz w:val="26"/>
          <w:szCs w:val="26"/>
        </w:rPr>
        <w:t xml:space="preserve"> 2018” pētījumā 190 valstu konkurencē Latvija ir ierindojusies augstajā 19.vietā (“</w:t>
      </w:r>
      <w:proofErr w:type="spellStart"/>
      <w:r w:rsidRPr="004B23CE">
        <w:rPr>
          <w:color w:val="000000" w:themeColor="text1"/>
          <w:sz w:val="26"/>
          <w:szCs w:val="26"/>
        </w:rPr>
        <w:t>Doing</w:t>
      </w:r>
      <w:proofErr w:type="spellEnd"/>
      <w:r w:rsidRPr="004B23CE">
        <w:rPr>
          <w:color w:val="000000" w:themeColor="text1"/>
          <w:sz w:val="26"/>
          <w:szCs w:val="26"/>
        </w:rPr>
        <w:t xml:space="preserve"> </w:t>
      </w:r>
      <w:proofErr w:type="spellStart"/>
      <w:r w:rsidRPr="004B23CE">
        <w:rPr>
          <w:color w:val="000000" w:themeColor="text1"/>
          <w:sz w:val="26"/>
          <w:szCs w:val="26"/>
        </w:rPr>
        <w:t>Business</w:t>
      </w:r>
      <w:proofErr w:type="spellEnd"/>
      <w:r w:rsidRPr="004B23CE">
        <w:rPr>
          <w:color w:val="000000" w:themeColor="text1"/>
          <w:sz w:val="26"/>
          <w:szCs w:val="26"/>
        </w:rPr>
        <w:t xml:space="preserve"> 2017” pētījumā Latvija ierindojās 14.vietā, savukārt “</w:t>
      </w:r>
      <w:proofErr w:type="spellStart"/>
      <w:r w:rsidRPr="004B23CE">
        <w:rPr>
          <w:color w:val="000000" w:themeColor="text1"/>
          <w:sz w:val="26"/>
          <w:szCs w:val="26"/>
        </w:rPr>
        <w:t>Doing</w:t>
      </w:r>
      <w:proofErr w:type="spellEnd"/>
      <w:r w:rsidRPr="004B23CE">
        <w:rPr>
          <w:color w:val="000000" w:themeColor="text1"/>
          <w:sz w:val="26"/>
          <w:szCs w:val="26"/>
        </w:rPr>
        <w:t xml:space="preserve"> </w:t>
      </w:r>
      <w:proofErr w:type="spellStart"/>
      <w:r w:rsidRPr="004B23CE">
        <w:rPr>
          <w:color w:val="000000" w:themeColor="text1"/>
          <w:sz w:val="26"/>
          <w:szCs w:val="26"/>
        </w:rPr>
        <w:t>Business</w:t>
      </w:r>
      <w:proofErr w:type="spellEnd"/>
      <w:r w:rsidRPr="004B23CE">
        <w:rPr>
          <w:color w:val="000000" w:themeColor="text1"/>
          <w:sz w:val="26"/>
          <w:szCs w:val="26"/>
        </w:rPr>
        <w:t xml:space="preserve"> 2016” – 22.vietā).</w:t>
      </w:r>
    </w:p>
    <w:p w14:paraId="42D0F239" w14:textId="77777777" w:rsidR="004B23CE" w:rsidRPr="004B23CE" w:rsidRDefault="004B23CE" w:rsidP="004B23CE">
      <w:pPr>
        <w:pStyle w:val="NoSpacing"/>
        <w:rPr>
          <w:b w:val="0"/>
          <w:sz w:val="24"/>
          <w:szCs w:val="24"/>
        </w:rPr>
      </w:pPr>
    </w:p>
    <w:p w14:paraId="42D0F23A" w14:textId="77777777" w:rsidR="004B23CE" w:rsidRPr="004B23CE" w:rsidRDefault="004B23CE" w:rsidP="004B23CE">
      <w:pPr>
        <w:tabs>
          <w:tab w:val="left" w:pos="1005"/>
        </w:tabs>
        <w:jc w:val="right"/>
        <w:rPr>
          <w:b/>
          <w:i/>
          <w:color w:val="000000" w:themeColor="text1"/>
          <w:sz w:val="26"/>
          <w:szCs w:val="26"/>
        </w:rPr>
      </w:pPr>
      <w:r w:rsidRPr="004B23CE">
        <w:rPr>
          <w:i/>
          <w:color w:val="000000" w:themeColor="text1"/>
          <w:sz w:val="26"/>
          <w:szCs w:val="26"/>
        </w:rPr>
        <w:t>1.tabula</w:t>
      </w:r>
    </w:p>
    <w:p w14:paraId="42D0F23B" w14:textId="77777777" w:rsidR="004B23CE" w:rsidRPr="004B23CE" w:rsidRDefault="004B23CE" w:rsidP="004B23CE">
      <w:pPr>
        <w:tabs>
          <w:tab w:val="left" w:pos="1005"/>
        </w:tabs>
        <w:ind w:firstLine="0"/>
        <w:jc w:val="right"/>
        <w:rPr>
          <w:color w:val="000000" w:themeColor="text1"/>
          <w:sz w:val="26"/>
          <w:szCs w:val="26"/>
        </w:rPr>
      </w:pPr>
      <w:r w:rsidRPr="004B23CE">
        <w:rPr>
          <w:color w:val="000000" w:themeColor="text1"/>
          <w:sz w:val="26"/>
          <w:szCs w:val="26"/>
        </w:rPr>
        <w:t xml:space="preserve">Latvijas salīdzinošie rādītāji Pasaules Bankas </w:t>
      </w:r>
      <w:proofErr w:type="spellStart"/>
      <w:r w:rsidRPr="004B23CE">
        <w:rPr>
          <w:color w:val="000000" w:themeColor="text1"/>
          <w:sz w:val="26"/>
          <w:szCs w:val="26"/>
        </w:rPr>
        <w:t>Doing</w:t>
      </w:r>
      <w:proofErr w:type="spellEnd"/>
      <w:r w:rsidRPr="004B23CE">
        <w:rPr>
          <w:color w:val="000000" w:themeColor="text1"/>
          <w:sz w:val="26"/>
          <w:szCs w:val="26"/>
        </w:rPr>
        <w:t xml:space="preserve"> </w:t>
      </w:r>
      <w:proofErr w:type="spellStart"/>
      <w:r w:rsidRPr="004B23CE">
        <w:rPr>
          <w:color w:val="000000" w:themeColor="text1"/>
          <w:sz w:val="26"/>
          <w:szCs w:val="26"/>
        </w:rPr>
        <w:t>Business</w:t>
      </w:r>
      <w:proofErr w:type="spellEnd"/>
      <w:r w:rsidRPr="004B23CE">
        <w:rPr>
          <w:color w:val="000000" w:themeColor="text1"/>
          <w:sz w:val="26"/>
          <w:szCs w:val="26"/>
        </w:rPr>
        <w:t xml:space="preserve"> 2017-2018</w:t>
      </w:r>
    </w:p>
    <w:p w14:paraId="42D0F23C" w14:textId="77777777" w:rsidR="004B23CE" w:rsidRPr="004B23CE" w:rsidRDefault="004B23CE" w:rsidP="004B23CE">
      <w:pPr>
        <w:tabs>
          <w:tab w:val="left" w:pos="1005"/>
        </w:tabs>
        <w:jc w:val="right"/>
        <w:rPr>
          <w:color w:val="000000" w:themeColor="text1"/>
          <w:sz w:val="26"/>
          <w:szCs w:val="26"/>
        </w:rPr>
      </w:pPr>
    </w:p>
    <w:tbl>
      <w:tblPr>
        <w:tblStyle w:val="TableGrid"/>
        <w:tblW w:w="0" w:type="auto"/>
        <w:tblLook w:val="04A0" w:firstRow="1" w:lastRow="0" w:firstColumn="1" w:lastColumn="0" w:noHBand="0" w:noVBand="1"/>
      </w:tblPr>
      <w:tblGrid>
        <w:gridCol w:w="5070"/>
        <w:gridCol w:w="1393"/>
        <w:gridCol w:w="1255"/>
        <w:gridCol w:w="1409"/>
      </w:tblGrid>
      <w:tr w:rsidR="004B23CE" w:rsidRPr="004B23CE" w14:paraId="42D0F241" w14:textId="77777777" w:rsidTr="001517B5">
        <w:tc>
          <w:tcPr>
            <w:tcW w:w="5070" w:type="dxa"/>
            <w:vAlign w:val="center"/>
          </w:tcPr>
          <w:p w14:paraId="42D0F23D" w14:textId="77777777" w:rsidR="004B23CE" w:rsidRPr="004B23CE" w:rsidRDefault="004B23CE" w:rsidP="004B23CE">
            <w:pPr>
              <w:tabs>
                <w:tab w:val="left" w:pos="1005"/>
              </w:tabs>
              <w:ind w:firstLine="0"/>
              <w:jc w:val="left"/>
              <w:rPr>
                <w:b/>
                <w:color w:val="000000" w:themeColor="text1"/>
                <w:sz w:val="24"/>
                <w:szCs w:val="24"/>
              </w:rPr>
            </w:pPr>
            <w:r w:rsidRPr="004B23CE">
              <w:rPr>
                <w:b/>
                <w:color w:val="000000" w:themeColor="text1"/>
                <w:sz w:val="24"/>
                <w:szCs w:val="24"/>
              </w:rPr>
              <w:t>Daži no kritērijiem</w:t>
            </w:r>
          </w:p>
        </w:tc>
        <w:tc>
          <w:tcPr>
            <w:tcW w:w="1393" w:type="dxa"/>
            <w:vAlign w:val="center"/>
          </w:tcPr>
          <w:p w14:paraId="42D0F23E" w14:textId="77777777" w:rsidR="004B23CE" w:rsidRPr="004B23CE" w:rsidRDefault="004B23CE" w:rsidP="004B23CE">
            <w:pPr>
              <w:tabs>
                <w:tab w:val="left" w:pos="1005"/>
              </w:tabs>
              <w:ind w:firstLine="0"/>
              <w:jc w:val="center"/>
              <w:rPr>
                <w:b/>
                <w:color w:val="000000" w:themeColor="text1"/>
                <w:sz w:val="24"/>
                <w:szCs w:val="24"/>
              </w:rPr>
            </w:pPr>
            <w:r w:rsidRPr="004B23CE">
              <w:rPr>
                <w:b/>
                <w:color w:val="000000" w:themeColor="text1"/>
                <w:sz w:val="24"/>
                <w:szCs w:val="24"/>
              </w:rPr>
              <w:t>2017</w:t>
            </w:r>
          </w:p>
        </w:tc>
        <w:tc>
          <w:tcPr>
            <w:tcW w:w="1255" w:type="dxa"/>
            <w:vAlign w:val="center"/>
          </w:tcPr>
          <w:p w14:paraId="42D0F23F" w14:textId="77777777" w:rsidR="004B23CE" w:rsidRPr="004B23CE" w:rsidRDefault="004B23CE" w:rsidP="004B23CE">
            <w:pPr>
              <w:tabs>
                <w:tab w:val="left" w:pos="1005"/>
              </w:tabs>
              <w:ind w:firstLine="0"/>
              <w:jc w:val="center"/>
              <w:rPr>
                <w:b/>
                <w:color w:val="000000" w:themeColor="text1"/>
                <w:sz w:val="24"/>
                <w:szCs w:val="24"/>
              </w:rPr>
            </w:pPr>
            <w:r w:rsidRPr="004B23CE">
              <w:rPr>
                <w:b/>
                <w:color w:val="000000" w:themeColor="text1"/>
                <w:sz w:val="24"/>
                <w:szCs w:val="24"/>
              </w:rPr>
              <w:t>2018</w:t>
            </w:r>
          </w:p>
        </w:tc>
        <w:tc>
          <w:tcPr>
            <w:tcW w:w="1409" w:type="dxa"/>
            <w:vAlign w:val="center"/>
          </w:tcPr>
          <w:p w14:paraId="42D0F240" w14:textId="77777777" w:rsidR="004B23CE" w:rsidRPr="004B23CE" w:rsidRDefault="004B23CE" w:rsidP="004B23CE">
            <w:pPr>
              <w:tabs>
                <w:tab w:val="left" w:pos="1005"/>
              </w:tabs>
              <w:ind w:firstLine="0"/>
              <w:jc w:val="center"/>
              <w:rPr>
                <w:b/>
                <w:color w:val="000000" w:themeColor="text1"/>
                <w:sz w:val="24"/>
                <w:szCs w:val="24"/>
              </w:rPr>
            </w:pPr>
            <w:r w:rsidRPr="004B23CE">
              <w:rPr>
                <w:b/>
                <w:color w:val="000000" w:themeColor="text1"/>
                <w:sz w:val="24"/>
                <w:szCs w:val="24"/>
              </w:rPr>
              <w:t>Izmaiņas (vietas)</w:t>
            </w:r>
          </w:p>
        </w:tc>
      </w:tr>
      <w:tr w:rsidR="004B23CE" w:rsidRPr="004B23CE" w14:paraId="42D0F246" w14:textId="77777777" w:rsidTr="001517B5">
        <w:tc>
          <w:tcPr>
            <w:tcW w:w="5070" w:type="dxa"/>
          </w:tcPr>
          <w:p w14:paraId="42D0F242" w14:textId="77777777" w:rsidR="004B23CE" w:rsidRPr="004B23CE" w:rsidRDefault="004B23CE" w:rsidP="004B23CE">
            <w:pPr>
              <w:tabs>
                <w:tab w:val="left" w:pos="1005"/>
              </w:tabs>
              <w:ind w:firstLine="0"/>
              <w:jc w:val="left"/>
              <w:rPr>
                <w:b/>
                <w:color w:val="000000" w:themeColor="text1"/>
                <w:sz w:val="24"/>
                <w:szCs w:val="24"/>
              </w:rPr>
            </w:pPr>
            <w:r w:rsidRPr="004B23CE">
              <w:rPr>
                <w:color w:val="000000" w:themeColor="text1"/>
                <w:sz w:val="24"/>
                <w:szCs w:val="24"/>
              </w:rPr>
              <w:t>Uzņēmējdarbības uzsākšana</w:t>
            </w:r>
          </w:p>
        </w:tc>
        <w:tc>
          <w:tcPr>
            <w:tcW w:w="1393" w:type="dxa"/>
            <w:vAlign w:val="center"/>
          </w:tcPr>
          <w:p w14:paraId="42D0F243"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22</w:t>
            </w:r>
          </w:p>
        </w:tc>
        <w:tc>
          <w:tcPr>
            <w:tcW w:w="1255" w:type="dxa"/>
            <w:vAlign w:val="center"/>
          </w:tcPr>
          <w:p w14:paraId="42D0F244"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21</w:t>
            </w:r>
          </w:p>
        </w:tc>
        <w:tc>
          <w:tcPr>
            <w:tcW w:w="1409" w:type="dxa"/>
            <w:vAlign w:val="center"/>
          </w:tcPr>
          <w:p w14:paraId="42D0F245"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+1</w:t>
            </w:r>
          </w:p>
        </w:tc>
      </w:tr>
      <w:tr w:rsidR="004B23CE" w:rsidRPr="004B23CE" w14:paraId="42D0F24B" w14:textId="77777777" w:rsidTr="001517B5">
        <w:tc>
          <w:tcPr>
            <w:tcW w:w="5070" w:type="dxa"/>
          </w:tcPr>
          <w:p w14:paraId="42D0F247" w14:textId="77777777" w:rsidR="004B23CE" w:rsidRPr="004B23CE" w:rsidRDefault="004B23CE" w:rsidP="004B23CE">
            <w:pPr>
              <w:tabs>
                <w:tab w:val="left" w:pos="1005"/>
              </w:tabs>
              <w:ind w:firstLine="0"/>
              <w:jc w:val="left"/>
              <w:rPr>
                <w:b/>
                <w:color w:val="000000" w:themeColor="text1"/>
                <w:sz w:val="24"/>
                <w:szCs w:val="24"/>
              </w:rPr>
            </w:pPr>
            <w:r w:rsidRPr="004B23CE">
              <w:rPr>
                <w:color w:val="000000" w:themeColor="text1"/>
                <w:sz w:val="24"/>
                <w:szCs w:val="24"/>
              </w:rPr>
              <w:t>Būvniecības atļauju saņemšana</w:t>
            </w:r>
          </w:p>
        </w:tc>
        <w:tc>
          <w:tcPr>
            <w:tcW w:w="1393" w:type="dxa"/>
            <w:vAlign w:val="center"/>
          </w:tcPr>
          <w:p w14:paraId="42D0F248"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23</w:t>
            </w:r>
          </w:p>
        </w:tc>
        <w:tc>
          <w:tcPr>
            <w:tcW w:w="1255" w:type="dxa"/>
            <w:vAlign w:val="center"/>
          </w:tcPr>
          <w:p w14:paraId="42D0F249"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49</w:t>
            </w:r>
          </w:p>
        </w:tc>
        <w:tc>
          <w:tcPr>
            <w:tcW w:w="1409" w:type="dxa"/>
            <w:vAlign w:val="center"/>
          </w:tcPr>
          <w:p w14:paraId="42D0F24A"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-26</w:t>
            </w:r>
          </w:p>
        </w:tc>
      </w:tr>
      <w:tr w:rsidR="004B23CE" w:rsidRPr="004B23CE" w14:paraId="42D0F250" w14:textId="77777777" w:rsidTr="001517B5">
        <w:tc>
          <w:tcPr>
            <w:tcW w:w="5070" w:type="dxa"/>
          </w:tcPr>
          <w:p w14:paraId="42D0F24C" w14:textId="77777777" w:rsidR="004B23CE" w:rsidRPr="004B23CE" w:rsidRDefault="004B23CE" w:rsidP="004B23CE">
            <w:pPr>
              <w:tabs>
                <w:tab w:val="left" w:pos="1005"/>
              </w:tabs>
              <w:ind w:firstLine="0"/>
              <w:jc w:val="left"/>
              <w:rPr>
                <w:b/>
                <w:color w:val="000000" w:themeColor="text1"/>
                <w:sz w:val="24"/>
                <w:szCs w:val="24"/>
              </w:rPr>
            </w:pPr>
            <w:r w:rsidRPr="004B23CE">
              <w:rPr>
                <w:color w:val="000000" w:themeColor="text1"/>
                <w:sz w:val="24"/>
                <w:szCs w:val="24"/>
              </w:rPr>
              <w:t>Elektroenerģijas pieslēgšana</w:t>
            </w:r>
          </w:p>
        </w:tc>
        <w:tc>
          <w:tcPr>
            <w:tcW w:w="1393" w:type="dxa"/>
            <w:vAlign w:val="center"/>
          </w:tcPr>
          <w:p w14:paraId="42D0F24D"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42</w:t>
            </w:r>
          </w:p>
        </w:tc>
        <w:tc>
          <w:tcPr>
            <w:tcW w:w="1255" w:type="dxa"/>
            <w:vAlign w:val="center"/>
          </w:tcPr>
          <w:p w14:paraId="42D0F24E"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62</w:t>
            </w:r>
          </w:p>
        </w:tc>
        <w:tc>
          <w:tcPr>
            <w:tcW w:w="1409" w:type="dxa"/>
            <w:vAlign w:val="center"/>
          </w:tcPr>
          <w:p w14:paraId="42D0F24F"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-20</w:t>
            </w:r>
          </w:p>
        </w:tc>
      </w:tr>
      <w:tr w:rsidR="004B23CE" w:rsidRPr="004B23CE" w14:paraId="42D0F255" w14:textId="77777777" w:rsidTr="001517B5">
        <w:tc>
          <w:tcPr>
            <w:tcW w:w="5070" w:type="dxa"/>
          </w:tcPr>
          <w:p w14:paraId="42D0F251" w14:textId="77777777" w:rsidR="004B23CE" w:rsidRPr="004B23CE" w:rsidRDefault="004B23CE" w:rsidP="004B23CE">
            <w:pPr>
              <w:tabs>
                <w:tab w:val="left" w:pos="1005"/>
              </w:tabs>
              <w:ind w:firstLine="0"/>
              <w:jc w:val="left"/>
              <w:rPr>
                <w:b/>
                <w:color w:val="000000" w:themeColor="text1"/>
                <w:sz w:val="24"/>
                <w:szCs w:val="24"/>
              </w:rPr>
            </w:pPr>
            <w:r w:rsidRPr="004B23CE">
              <w:rPr>
                <w:color w:val="000000" w:themeColor="text1"/>
                <w:sz w:val="24"/>
                <w:szCs w:val="24"/>
              </w:rPr>
              <w:t>Nekustamā īpašuma reģistrēšana</w:t>
            </w:r>
          </w:p>
        </w:tc>
        <w:tc>
          <w:tcPr>
            <w:tcW w:w="1393" w:type="dxa"/>
            <w:vAlign w:val="center"/>
          </w:tcPr>
          <w:p w14:paraId="42D0F252"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23</w:t>
            </w:r>
          </w:p>
        </w:tc>
        <w:tc>
          <w:tcPr>
            <w:tcW w:w="1255" w:type="dxa"/>
            <w:vAlign w:val="center"/>
          </w:tcPr>
          <w:p w14:paraId="42D0F253"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22</w:t>
            </w:r>
          </w:p>
        </w:tc>
        <w:tc>
          <w:tcPr>
            <w:tcW w:w="1409" w:type="dxa"/>
            <w:vAlign w:val="center"/>
          </w:tcPr>
          <w:p w14:paraId="42D0F254"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+1</w:t>
            </w:r>
          </w:p>
        </w:tc>
      </w:tr>
      <w:tr w:rsidR="004B23CE" w:rsidRPr="004B23CE" w14:paraId="42D0F25A" w14:textId="77777777" w:rsidTr="001517B5">
        <w:tc>
          <w:tcPr>
            <w:tcW w:w="5070" w:type="dxa"/>
          </w:tcPr>
          <w:p w14:paraId="42D0F256" w14:textId="77777777" w:rsidR="004B23CE" w:rsidRPr="004B23CE" w:rsidRDefault="004B23CE" w:rsidP="004B23CE">
            <w:pPr>
              <w:tabs>
                <w:tab w:val="left" w:pos="1005"/>
              </w:tabs>
              <w:ind w:firstLine="0"/>
              <w:jc w:val="left"/>
              <w:rPr>
                <w:b/>
                <w:color w:val="000000" w:themeColor="text1"/>
                <w:sz w:val="24"/>
                <w:szCs w:val="24"/>
              </w:rPr>
            </w:pPr>
            <w:r w:rsidRPr="004B23CE">
              <w:rPr>
                <w:color w:val="000000" w:themeColor="text1"/>
                <w:sz w:val="24"/>
                <w:szCs w:val="24"/>
              </w:rPr>
              <w:t>Investoru (mazākuma) tiesību aizsardzība</w:t>
            </w:r>
          </w:p>
        </w:tc>
        <w:tc>
          <w:tcPr>
            <w:tcW w:w="1393" w:type="dxa"/>
            <w:vAlign w:val="center"/>
          </w:tcPr>
          <w:p w14:paraId="42D0F257"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42</w:t>
            </w:r>
          </w:p>
        </w:tc>
        <w:tc>
          <w:tcPr>
            <w:tcW w:w="1255" w:type="dxa"/>
            <w:vAlign w:val="center"/>
          </w:tcPr>
          <w:p w14:paraId="42D0F258"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43</w:t>
            </w:r>
          </w:p>
        </w:tc>
        <w:tc>
          <w:tcPr>
            <w:tcW w:w="1409" w:type="dxa"/>
            <w:vAlign w:val="center"/>
          </w:tcPr>
          <w:p w14:paraId="42D0F259"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-1</w:t>
            </w:r>
          </w:p>
        </w:tc>
      </w:tr>
      <w:tr w:rsidR="004B23CE" w:rsidRPr="004B23CE" w14:paraId="42D0F25F" w14:textId="77777777" w:rsidTr="001517B5">
        <w:tc>
          <w:tcPr>
            <w:tcW w:w="5070" w:type="dxa"/>
          </w:tcPr>
          <w:p w14:paraId="42D0F25B" w14:textId="77777777" w:rsidR="004B23CE" w:rsidRPr="004B23CE" w:rsidRDefault="004B23CE" w:rsidP="004B23CE">
            <w:pPr>
              <w:tabs>
                <w:tab w:val="left" w:pos="1005"/>
              </w:tabs>
              <w:ind w:firstLine="0"/>
              <w:jc w:val="left"/>
              <w:rPr>
                <w:b/>
                <w:color w:val="000000" w:themeColor="text1"/>
                <w:sz w:val="24"/>
                <w:szCs w:val="24"/>
              </w:rPr>
            </w:pPr>
            <w:r w:rsidRPr="004B23CE">
              <w:rPr>
                <w:color w:val="000000" w:themeColor="text1"/>
                <w:sz w:val="24"/>
                <w:szCs w:val="24"/>
              </w:rPr>
              <w:t>Līgumsaistību izpilde</w:t>
            </w:r>
          </w:p>
        </w:tc>
        <w:tc>
          <w:tcPr>
            <w:tcW w:w="1393" w:type="dxa"/>
            <w:vAlign w:val="center"/>
          </w:tcPr>
          <w:p w14:paraId="42D0F25C"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23</w:t>
            </w:r>
          </w:p>
        </w:tc>
        <w:tc>
          <w:tcPr>
            <w:tcW w:w="1255" w:type="dxa"/>
            <w:vAlign w:val="center"/>
          </w:tcPr>
          <w:p w14:paraId="42D0F25D"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20</w:t>
            </w:r>
          </w:p>
        </w:tc>
        <w:tc>
          <w:tcPr>
            <w:tcW w:w="1409" w:type="dxa"/>
            <w:vAlign w:val="center"/>
          </w:tcPr>
          <w:p w14:paraId="42D0F25E"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+3</w:t>
            </w:r>
          </w:p>
        </w:tc>
      </w:tr>
      <w:tr w:rsidR="004B23CE" w:rsidRPr="004B23CE" w14:paraId="42D0F264" w14:textId="77777777" w:rsidTr="001517B5">
        <w:tc>
          <w:tcPr>
            <w:tcW w:w="5070" w:type="dxa"/>
          </w:tcPr>
          <w:p w14:paraId="42D0F260" w14:textId="77777777" w:rsidR="004B23CE" w:rsidRPr="004B23CE" w:rsidRDefault="004B23CE" w:rsidP="004B23CE">
            <w:pPr>
              <w:tabs>
                <w:tab w:val="left" w:pos="1005"/>
              </w:tabs>
              <w:ind w:firstLine="0"/>
              <w:jc w:val="left"/>
              <w:rPr>
                <w:b/>
                <w:color w:val="000000" w:themeColor="text1"/>
                <w:sz w:val="24"/>
                <w:szCs w:val="24"/>
              </w:rPr>
            </w:pPr>
            <w:r w:rsidRPr="004B23CE">
              <w:rPr>
                <w:color w:val="000000" w:themeColor="text1"/>
                <w:sz w:val="24"/>
                <w:szCs w:val="24"/>
              </w:rPr>
              <w:t>Uzņēmējdarbības izbeigšana</w:t>
            </w:r>
          </w:p>
        </w:tc>
        <w:tc>
          <w:tcPr>
            <w:tcW w:w="1393" w:type="dxa"/>
            <w:vAlign w:val="center"/>
          </w:tcPr>
          <w:p w14:paraId="42D0F261"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44</w:t>
            </w:r>
          </w:p>
        </w:tc>
        <w:tc>
          <w:tcPr>
            <w:tcW w:w="1255" w:type="dxa"/>
            <w:vAlign w:val="center"/>
          </w:tcPr>
          <w:p w14:paraId="42D0F262"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53</w:t>
            </w:r>
          </w:p>
        </w:tc>
        <w:tc>
          <w:tcPr>
            <w:tcW w:w="1409" w:type="dxa"/>
            <w:vAlign w:val="center"/>
          </w:tcPr>
          <w:p w14:paraId="42D0F263" w14:textId="77777777" w:rsidR="004B23CE" w:rsidRPr="004B23CE" w:rsidRDefault="004B23CE" w:rsidP="004B23CE">
            <w:pPr>
              <w:tabs>
                <w:tab w:val="left" w:pos="1005"/>
              </w:tabs>
              <w:ind w:firstLine="0"/>
              <w:jc w:val="center"/>
              <w:rPr>
                <w:b/>
                <w:color w:val="000000" w:themeColor="text1"/>
                <w:sz w:val="24"/>
                <w:szCs w:val="24"/>
              </w:rPr>
            </w:pPr>
            <w:r w:rsidRPr="004B23CE">
              <w:rPr>
                <w:color w:val="000000" w:themeColor="text1"/>
                <w:sz w:val="24"/>
                <w:szCs w:val="24"/>
              </w:rPr>
              <w:t>-9</w:t>
            </w:r>
          </w:p>
        </w:tc>
      </w:tr>
    </w:tbl>
    <w:p w14:paraId="42D0F265" w14:textId="77777777" w:rsidR="001517B5" w:rsidRDefault="001517B5" w:rsidP="004B23CE">
      <w:pPr>
        <w:rPr>
          <w:iCs/>
          <w:sz w:val="26"/>
          <w:szCs w:val="26"/>
        </w:rPr>
      </w:pPr>
    </w:p>
    <w:p w14:paraId="42D0F266" w14:textId="77777777" w:rsidR="004B23CE" w:rsidRPr="004B23CE" w:rsidRDefault="004B23CE" w:rsidP="004B23CE">
      <w:pPr>
        <w:rPr>
          <w:sz w:val="26"/>
          <w:szCs w:val="26"/>
        </w:rPr>
      </w:pPr>
      <w:r w:rsidRPr="004B23CE">
        <w:rPr>
          <w:iCs/>
          <w:sz w:val="26"/>
          <w:szCs w:val="26"/>
        </w:rPr>
        <w:t>Latvijas ekonomika</w:t>
      </w:r>
      <w:r w:rsidRPr="004B23CE">
        <w:rPr>
          <w:sz w:val="26"/>
          <w:szCs w:val="26"/>
        </w:rPr>
        <w:t xml:space="preserve"> ir Eiropas Savienības ekonomiskajā telpā integrēta atvērta ekonomika. </w:t>
      </w:r>
      <w:r w:rsidRPr="004B23CE">
        <w:rPr>
          <w:color w:val="000000" w:themeColor="text1"/>
          <w:sz w:val="26"/>
          <w:szCs w:val="26"/>
        </w:rPr>
        <w:t>Sakārtota uzņēmējdarbības vide – tiesisks, uzņēmējdarbībai labvēlīgs normatīvais regulējums, korupcijas un ēnu ekonomikas samazinājums, kā arī samērīgas prasības un mūsdienīgi, lietotājam ērti valsts pārvaldes pakalpojumi – ir galvenais nosacījums, lai uzņēmēji vēlētos Latvijā uzsākt un paplašināt uzņēmējdarbību. Tas ir pamatnosacījums arī investoru ieinteresētībai veikt ieguldījumus mūsu valstī, nešauboties par to drošību un aizsargātību. Korupcija negatīvi ietekmē ekonomisko situāciju valstī: paplašinās “ēnu ekonomika”, tiek grauti konkrēti tirgus mehānismi (“kropļota” tirgus konkurence),</w:t>
      </w:r>
      <w:r w:rsidRPr="004B23CE">
        <w:rPr>
          <w:rFonts w:eastAsia="Times New Roman" w:cs="Times New Roman"/>
          <w:color w:val="000000" w:themeColor="text1"/>
          <w:sz w:val="26"/>
          <w:szCs w:val="26"/>
          <w:lang w:eastAsia="lv-LV"/>
        </w:rPr>
        <w:t xml:space="preserve"> potenciālie investori zaudē uzticību konkrētās valsts attīstībai</w:t>
      </w:r>
      <w:r w:rsidRPr="004B23CE">
        <w:rPr>
          <w:color w:val="000000" w:themeColor="text1"/>
          <w:sz w:val="26"/>
          <w:szCs w:val="26"/>
        </w:rPr>
        <w:t>, veicinot sociālo nevienlīdzību.</w:t>
      </w:r>
    </w:p>
    <w:p w14:paraId="42D0F267" w14:textId="77777777" w:rsidR="004B23CE" w:rsidRPr="004B23CE" w:rsidRDefault="004B23CE" w:rsidP="004B23CE">
      <w:pPr>
        <w:rPr>
          <w:b/>
          <w:color w:val="000000" w:themeColor="text1"/>
          <w:sz w:val="26"/>
          <w:szCs w:val="26"/>
        </w:rPr>
      </w:pPr>
      <w:r w:rsidRPr="004B23CE">
        <w:rPr>
          <w:color w:val="000000" w:themeColor="text1"/>
          <w:sz w:val="26"/>
          <w:szCs w:val="26"/>
        </w:rPr>
        <w:t>Pēdējos gados gan Ministru kabinetam, gan Saeimai ir zems sabiedrības uzticības līmenis, ko apstiprina sabiedriskās domas aptaujas. Atbilstoši 2016.gada oktobra aptaujā “Attieksme pret korupciju Latvijā”</w:t>
      </w:r>
      <w:r w:rsidRPr="004B23CE">
        <w:rPr>
          <w:color w:val="000000" w:themeColor="text1"/>
          <w:sz w:val="26"/>
          <w:szCs w:val="26"/>
          <w:vertAlign w:val="superscript"/>
        </w:rPr>
        <w:footnoteReference w:id="8"/>
      </w:r>
      <w:r w:rsidRPr="004B23CE">
        <w:rPr>
          <w:color w:val="000000" w:themeColor="text1"/>
          <w:sz w:val="26"/>
          <w:szCs w:val="26"/>
        </w:rPr>
        <w:t xml:space="preserve"> konstatētajam</w:t>
      </w:r>
      <w:r w:rsidR="007D51BD">
        <w:rPr>
          <w:color w:val="000000" w:themeColor="text1"/>
          <w:sz w:val="26"/>
          <w:szCs w:val="26"/>
        </w:rPr>
        <w:t>,</w:t>
      </w:r>
      <w:r w:rsidRPr="004B23CE">
        <w:rPr>
          <w:color w:val="000000" w:themeColor="text1"/>
          <w:sz w:val="26"/>
          <w:szCs w:val="26"/>
        </w:rPr>
        <w:t xml:space="preserve"> Ministru </w:t>
      </w:r>
      <w:r w:rsidRPr="004B23CE">
        <w:rPr>
          <w:color w:val="000000" w:themeColor="text1"/>
          <w:sz w:val="26"/>
          <w:szCs w:val="26"/>
        </w:rPr>
        <w:lastRenderedPageBreak/>
        <w:t xml:space="preserve">kabinetam uzticas vien 19% respondentu, </w:t>
      </w:r>
      <w:r w:rsidRPr="000A003F">
        <w:rPr>
          <w:color w:val="000000" w:themeColor="text1"/>
          <w:sz w:val="26"/>
          <w:szCs w:val="26"/>
        </w:rPr>
        <w:t>Saeimai – 12%. Savukārt saskaņā ar 2017.gada oktobra aptaujas datiem</w:t>
      </w:r>
      <w:r w:rsidRPr="004B23CE">
        <w:rPr>
          <w:color w:val="000000" w:themeColor="text1"/>
          <w:sz w:val="26"/>
          <w:szCs w:val="26"/>
          <w:vertAlign w:val="superscript"/>
        </w:rPr>
        <w:footnoteReference w:id="9"/>
      </w:r>
      <w:r w:rsidRPr="004B23CE">
        <w:rPr>
          <w:color w:val="000000" w:themeColor="text1"/>
          <w:sz w:val="26"/>
          <w:szCs w:val="26"/>
        </w:rPr>
        <w:t xml:space="preserve"> Ministru kabinetam uzticas 17,1%, savukārt Saeimai – 14,1%.</w:t>
      </w:r>
    </w:p>
    <w:p w14:paraId="42D0F268" w14:textId="77777777" w:rsidR="004B23CE" w:rsidRPr="004B23CE" w:rsidRDefault="004B23CE" w:rsidP="004B23CE">
      <w:pPr>
        <w:ind w:firstLine="709"/>
        <w:rPr>
          <w:b/>
          <w:color w:val="000000" w:themeColor="text1"/>
          <w:sz w:val="26"/>
          <w:szCs w:val="26"/>
        </w:rPr>
      </w:pPr>
      <w:r w:rsidRPr="004B23CE">
        <w:rPr>
          <w:color w:val="000000" w:themeColor="text1"/>
          <w:sz w:val="26"/>
          <w:szCs w:val="26"/>
        </w:rPr>
        <w:t>Lai stiprinātu Latvijas pilsoņu uzticēšanos Saeimai, kuras uzticības līmenis šobrīd ir samērā zems, Saeima 2016.gada pavasarī pieņēma grozījumus Latvijas Republikas Satversmē, paredzot, ka Saeimas deputātus turpmāk varēs saukt pie administratīvās atbildības bez parlamenta piekrišanas, un izdarīja grozījumus Saeimas kārtības rullī, izslēdzot normas par parlamenta piekrišanu deputāta izdošanai administratīvai sodīšanai</w:t>
      </w:r>
      <w:r w:rsidRPr="004B23CE">
        <w:rPr>
          <w:color w:val="000000" w:themeColor="text1"/>
          <w:sz w:val="26"/>
          <w:szCs w:val="26"/>
          <w:vertAlign w:val="superscript"/>
        </w:rPr>
        <w:footnoteReference w:id="10"/>
      </w:r>
      <w:r w:rsidRPr="004B23CE">
        <w:rPr>
          <w:color w:val="000000" w:themeColor="text1"/>
          <w:sz w:val="26"/>
          <w:szCs w:val="26"/>
        </w:rPr>
        <w:t>.</w:t>
      </w:r>
    </w:p>
    <w:p w14:paraId="42D0F269" w14:textId="77777777" w:rsidR="004B23CE" w:rsidRPr="004B23CE" w:rsidRDefault="004B23CE" w:rsidP="004B23CE">
      <w:pPr>
        <w:ind w:firstLine="709"/>
        <w:rPr>
          <w:b/>
          <w:color w:val="000000" w:themeColor="text1"/>
          <w:sz w:val="26"/>
          <w:szCs w:val="26"/>
        </w:rPr>
      </w:pPr>
      <w:r w:rsidRPr="004B23CE">
        <w:rPr>
          <w:color w:val="000000" w:themeColor="text1"/>
          <w:sz w:val="26"/>
          <w:szCs w:val="26"/>
        </w:rPr>
        <w:t xml:space="preserve">Iepriekšējās stratēģijas darbības periodā, lai uzlabotu interešu konflikta novēršanas mehānismu valsts amatpersonu darbībā, koruptīvu noziedzīgu nodarījumu izmeklēšanu, kā arī politisko organizāciju (partiju) nelikumīgu finansēšanu un pārkāpumus priekšvēlēšanu aģitācijā, tika izdarīti virkne grozījumu tiesību aktos. </w:t>
      </w:r>
      <w:r w:rsidR="0049169B">
        <w:rPr>
          <w:color w:val="000000" w:themeColor="text1"/>
          <w:sz w:val="26"/>
          <w:szCs w:val="26"/>
        </w:rPr>
        <w:t xml:space="preserve">No tiem būtiskākie grozījumi </w:t>
      </w:r>
      <w:r w:rsidRPr="004B23CE">
        <w:rPr>
          <w:color w:val="000000" w:themeColor="text1"/>
          <w:sz w:val="26"/>
          <w:szCs w:val="26"/>
        </w:rPr>
        <w:t>veikti Krimināllikumā, Priekšvēlēšanu aģitācijas likumā, likumā “Par interešu konflikta novēršanu valsts amatpersonu darbībā”.</w:t>
      </w:r>
    </w:p>
    <w:p w14:paraId="42D0F26A" w14:textId="77777777" w:rsidR="00F02C29" w:rsidRPr="00F02C29" w:rsidRDefault="00F02C29" w:rsidP="00FD23DB">
      <w:pPr>
        <w:pStyle w:val="NoSpacing"/>
        <w:ind w:firstLine="709"/>
        <w:jc w:val="both"/>
        <w:rPr>
          <w:b w:val="0"/>
          <w:color w:val="0070C0"/>
          <w:sz w:val="26"/>
          <w:szCs w:val="26"/>
        </w:rPr>
      </w:pPr>
    </w:p>
    <w:p w14:paraId="42D0F26B" w14:textId="77777777" w:rsidR="00460E56" w:rsidRPr="0038447A" w:rsidRDefault="00460E56" w:rsidP="00FD23DB">
      <w:pPr>
        <w:keepNext/>
        <w:keepLines/>
        <w:numPr>
          <w:ilvl w:val="1"/>
          <w:numId w:val="29"/>
        </w:numPr>
        <w:ind w:left="0" w:firstLine="0"/>
        <w:jc w:val="center"/>
        <w:outlineLvl w:val="1"/>
        <w:rPr>
          <w:rFonts w:eastAsiaTheme="majorEastAsia" w:cstheme="majorBidi"/>
          <w:b/>
          <w:bCs/>
          <w:sz w:val="26"/>
          <w:szCs w:val="26"/>
        </w:rPr>
      </w:pPr>
      <w:bookmarkStart w:id="4" w:name="_Toc500150881"/>
      <w:r w:rsidRPr="0038447A">
        <w:rPr>
          <w:rFonts w:eastAsiaTheme="majorEastAsia" w:cstheme="majorBidi"/>
          <w:b/>
          <w:bCs/>
          <w:sz w:val="26"/>
          <w:szCs w:val="26"/>
        </w:rPr>
        <w:t xml:space="preserve">Biroja prioritātes </w:t>
      </w:r>
      <w:bookmarkEnd w:id="4"/>
    </w:p>
    <w:p w14:paraId="42D0F26C" w14:textId="77777777" w:rsidR="00FD23DB" w:rsidRPr="0038447A" w:rsidRDefault="00FD23DB" w:rsidP="00FD23DB">
      <w:pPr>
        <w:pStyle w:val="NoSpacing"/>
        <w:rPr>
          <w:sz w:val="26"/>
          <w:szCs w:val="26"/>
        </w:rPr>
      </w:pPr>
    </w:p>
    <w:p w14:paraId="42D0F26D" w14:textId="77777777" w:rsidR="00CA612A" w:rsidRPr="00506C8C" w:rsidRDefault="00D9006C" w:rsidP="00506C8C">
      <w:pPr>
        <w:rPr>
          <w:color w:val="000000" w:themeColor="text1"/>
          <w:sz w:val="26"/>
          <w:szCs w:val="26"/>
        </w:rPr>
      </w:pPr>
      <w:r w:rsidRPr="00506C8C">
        <w:rPr>
          <w:color w:val="000000" w:themeColor="text1"/>
          <w:sz w:val="26"/>
          <w:szCs w:val="26"/>
        </w:rPr>
        <w:t>Birojam jāveicina t</w:t>
      </w:r>
      <w:r w:rsidR="00506C8C" w:rsidRPr="00506C8C">
        <w:rPr>
          <w:color w:val="000000" w:themeColor="text1"/>
          <w:sz w:val="26"/>
          <w:szCs w:val="26"/>
        </w:rPr>
        <w:t>āda</w:t>
      </w:r>
      <w:r w:rsidRPr="00506C8C">
        <w:rPr>
          <w:color w:val="000000" w:themeColor="text1"/>
          <w:sz w:val="26"/>
          <w:szCs w:val="26"/>
        </w:rPr>
        <w:t xml:space="preserve"> sociāl</w:t>
      </w:r>
      <w:r w:rsidR="00506C8C" w:rsidRPr="00506C8C">
        <w:rPr>
          <w:color w:val="000000" w:themeColor="text1"/>
          <w:sz w:val="26"/>
          <w:szCs w:val="26"/>
        </w:rPr>
        <w:t>ā</w:t>
      </w:r>
      <w:r w:rsidRPr="00506C8C">
        <w:rPr>
          <w:color w:val="000000" w:themeColor="text1"/>
          <w:sz w:val="26"/>
          <w:szCs w:val="26"/>
        </w:rPr>
        <w:t>, ekonomisk</w:t>
      </w:r>
      <w:r w:rsidR="00506C8C" w:rsidRPr="00506C8C">
        <w:rPr>
          <w:color w:val="000000" w:themeColor="text1"/>
          <w:sz w:val="26"/>
          <w:szCs w:val="26"/>
        </w:rPr>
        <w:t>ā</w:t>
      </w:r>
      <w:r w:rsidRPr="00506C8C">
        <w:rPr>
          <w:color w:val="000000" w:themeColor="text1"/>
          <w:sz w:val="26"/>
          <w:szCs w:val="26"/>
        </w:rPr>
        <w:t xml:space="preserve"> un tiesisk</w:t>
      </w:r>
      <w:r w:rsidR="00506C8C" w:rsidRPr="00506C8C">
        <w:rPr>
          <w:color w:val="000000" w:themeColor="text1"/>
          <w:sz w:val="26"/>
          <w:szCs w:val="26"/>
        </w:rPr>
        <w:t>ā</w:t>
      </w:r>
      <w:r w:rsidRPr="00506C8C">
        <w:rPr>
          <w:color w:val="000000" w:themeColor="text1"/>
          <w:sz w:val="26"/>
          <w:szCs w:val="26"/>
        </w:rPr>
        <w:t xml:space="preserve"> vide, kurā ēnu ekonomikai un korupcijai ir minimāl</w:t>
      </w:r>
      <w:r w:rsidR="0049169B">
        <w:rPr>
          <w:color w:val="000000" w:themeColor="text1"/>
          <w:sz w:val="26"/>
          <w:szCs w:val="26"/>
        </w:rPr>
        <w:t>a</w:t>
      </w:r>
      <w:r w:rsidRPr="00506C8C">
        <w:rPr>
          <w:color w:val="000000" w:themeColor="text1"/>
          <w:sz w:val="26"/>
          <w:szCs w:val="26"/>
        </w:rPr>
        <w:t xml:space="preserve"> </w:t>
      </w:r>
      <w:r w:rsidR="0049169B">
        <w:rPr>
          <w:color w:val="000000" w:themeColor="text1"/>
          <w:sz w:val="26"/>
          <w:szCs w:val="26"/>
        </w:rPr>
        <w:t>izplatība</w:t>
      </w:r>
      <w:r w:rsidR="00506C8C" w:rsidRPr="00506C8C">
        <w:rPr>
          <w:color w:val="000000" w:themeColor="text1"/>
          <w:sz w:val="26"/>
          <w:szCs w:val="26"/>
        </w:rPr>
        <w:t xml:space="preserve">, </w:t>
      </w:r>
      <w:r w:rsidR="00CA612A" w:rsidRPr="00506C8C">
        <w:rPr>
          <w:color w:val="000000" w:themeColor="text1"/>
          <w:sz w:val="26"/>
          <w:szCs w:val="26"/>
        </w:rPr>
        <w:t>nodrošinot, ka katrs indivīds un sabiedrība kopumā uzticas</w:t>
      </w:r>
      <w:r w:rsidR="00FD4436">
        <w:rPr>
          <w:color w:val="000000" w:themeColor="text1"/>
          <w:sz w:val="26"/>
          <w:szCs w:val="26"/>
        </w:rPr>
        <w:t xml:space="preserve"> likumdevējam,</w:t>
      </w:r>
      <w:r w:rsidR="00CA612A" w:rsidRPr="00506C8C">
        <w:rPr>
          <w:color w:val="000000" w:themeColor="text1"/>
          <w:sz w:val="26"/>
          <w:szCs w:val="26"/>
        </w:rPr>
        <w:t xml:space="preserve"> </w:t>
      </w:r>
      <w:r w:rsidR="001539CD" w:rsidRPr="00506C8C">
        <w:rPr>
          <w:color w:val="000000" w:themeColor="text1"/>
          <w:sz w:val="26"/>
          <w:szCs w:val="26"/>
        </w:rPr>
        <w:t>tiesu vara</w:t>
      </w:r>
      <w:r w:rsidR="001539CD">
        <w:rPr>
          <w:color w:val="000000" w:themeColor="text1"/>
          <w:sz w:val="26"/>
          <w:szCs w:val="26"/>
        </w:rPr>
        <w:t>i,</w:t>
      </w:r>
      <w:r w:rsidR="00FD4436">
        <w:rPr>
          <w:color w:val="000000" w:themeColor="text1"/>
          <w:sz w:val="26"/>
          <w:szCs w:val="26"/>
        </w:rPr>
        <w:t xml:space="preserve"> </w:t>
      </w:r>
      <w:r w:rsidR="00506C8C">
        <w:rPr>
          <w:color w:val="000000" w:themeColor="text1"/>
          <w:sz w:val="26"/>
          <w:szCs w:val="26"/>
        </w:rPr>
        <w:t>valsts</w:t>
      </w:r>
      <w:r w:rsidR="001539CD">
        <w:rPr>
          <w:color w:val="000000" w:themeColor="text1"/>
          <w:sz w:val="26"/>
          <w:szCs w:val="26"/>
        </w:rPr>
        <w:t xml:space="preserve"> un </w:t>
      </w:r>
      <w:r w:rsidR="00CA612A" w:rsidRPr="00506C8C">
        <w:rPr>
          <w:color w:val="000000" w:themeColor="text1"/>
          <w:sz w:val="26"/>
          <w:szCs w:val="26"/>
        </w:rPr>
        <w:t>pašvaldību institūcijām</w:t>
      </w:r>
      <w:r w:rsidR="00506C8C">
        <w:rPr>
          <w:color w:val="000000" w:themeColor="text1"/>
          <w:sz w:val="26"/>
          <w:szCs w:val="26"/>
        </w:rPr>
        <w:t xml:space="preserve">. </w:t>
      </w:r>
      <w:r w:rsidR="00FD4436">
        <w:rPr>
          <w:color w:val="000000" w:themeColor="text1"/>
          <w:sz w:val="26"/>
          <w:szCs w:val="26"/>
        </w:rPr>
        <w:t>Vienlaikus ekonomisk</w:t>
      </w:r>
      <w:r w:rsidR="004B23CE">
        <w:rPr>
          <w:color w:val="000000" w:themeColor="text1"/>
          <w:sz w:val="26"/>
          <w:szCs w:val="26"/>
        </w:rPr>
        <w:t>ā</w:t>
      </w:r>
      <w:r w:rsidR="00FD4436">
        <w:rPr>
          <w:color w:val="000000" w:themeColor="text1"/>
          <w:sz w:val="26"/>
          <w:szCs w:val="26"/>
        </w:rPr>
        <w:t>s izaugsme</w:t>
      </w:r>
      <w:r w:rsidR="004B23CE">
        <w:rPr>
          <w:color w:val="000000" w:themeColor="text1"/>
          <w:sz w:val="26"/>
          <w:szCs w:val="26"/>
        </w:rPr>
        <w:t>s veicināšanai</w:t>
      </w:r>
      <w:r w:rsidR="00FD4436">
        <w:rPr>
          <w:color w:val="000000" w:themeColor="text1"/>
          <w:sz w:val="26"/>
          <w:szCs w:val="26"/>
        </w:rPr>
        <w:t xml:space="preserve"> ir n</w:t>
      </w:r>
      <w:r w:rsidR="00506C8C">
        <w:rPr>
          <w:color w:val="000000" w:themeColor="text1"/>
          <w:sz w:val="26"/>
          <w:szCs w:val="26"/>
        </w:rPr>
        <w:t>epieciešams nodrošināt</w:t>
      </w:r>
      <w:r w:rsidR="00470C3F">
        <w:rPr>
          <w:color w:val="000000" w:themeColor="text1"/>
          <w:sz w:val="26"/>
          <w:szCs w:val="26"/>
        </w:rPr>
        <w:t xml:space="preserve"> uzņēmējdarbībai labvēlīgu vidi. Jāsekmē starptautisko organizāciju sniegto rekomendāciju izpilde.</w:t>
      </w:r>
    </w:p>
    <w:p w14:paraId="42D0F26E" w14:textId="77777777" w:rsidR="00460E56" w:rsidRPr="00506C8C" w:rsidRDefault="001539CD" w:rsidP="00460E56">
      <w:pPr>
        <w:rPr>
          <w:color w:val="000000" w:themeColor="text1"/>
          <w:sz w:val="26"/>
          <w:szCs w:val="26"/>
        </w:rPr>
      </w:pPr>
      <w:r>
        <w:rPr>
          <w:color w:val="000000" w:themeColor="text1"/>
          <w:sz w:val="26"/>
          <w:szCs w:val="26"/>
        </w:rPr>
        <w:t xml:space="preserve">Stiprinot </w:t>
      </w:r>
      <w:r w:rsidR="00CA612A" w:rsidRPr="00506C8C">
        <w:rPr>
          <w:color w:val="000000" w:themeColor="text1"/>
          <w:sz w:val="26"/>
          <w:szCs w:val="26"/>
        </w:rPr>
        <w:t xml:space="preserve">Biroja </w:t>
      </w:r>
      <w:r>
        <w:rPr>
          <w:color w:val="000000" w:themeColor="text1"/>
          <w:sz w:val="26"/>
          <w:szCs w:val="26"/>
        </w:rPr>
        <w:t>analītisko kapacitāti</w:t>
      </w:r>
      <w:r w:rsidR="005515B7">
        <w:rPr>
          <w:color w:val="000000" w:themeColor="text1"/>
          <w:sz w:val="26"/>
          <w:szCs w:val="26"/>
        </w:rPr>
        <w:t>,</w:t>
      </w:r>
      <w:r>
        <w:rPr>
          <w:color w:val="000000" w:themeColor="text1"/>
          <w:sz w:val="26"/>
          <w:szCs w:val="26"/>
        </w:rPr>
        <w:t xml:space="preserve"> </w:t>
      </w:r>
      <w:r w:rsidR="00CA612A" w:rsidRPr="00506C8C">
        <w:rPr>
          <w:color w:val="000000" w:themeColor="text1"/>
          <w:sz w:val="26"/>
          <w:szCs w:val="26"/>
        </w:rPr>
        <w:t xml:space="preserve">resursi tai deleģēto jomu uzraudzībā un kontrolē </w:t>
      </w:r>
      <w:r>
        <w:rPr>
          <w:color w:val="000000" w:themeColor="text1"/>
          <w:sz w:val="26"/>
          <w:szCs w:val="26"/>
        </w:rPr>
        <w:t xml:space="preserve">sistēmiski tiks koncentrēti uz </w:t>
      </w:r>
      <w:r w:rsidR="007D51BD">
        <w:rPr>
          <w:color w:val="000000" w:themeColor="text1"/>
          <w:sz w:val="26"/>
          <w:szCs w:val="26"/>
        </w:rPr>
        <w:t xml:space="preserve">korupcijas </w:t>
      </w:r>
      <w:r w:rsidR="007D51BD" w:rsidRPr="00506C8C">
        <w:rPr>
          <w:color w:val="000000" w:themeColor="text1"/>
          <w:sz w:val="26"/>
          <w:szCs w:val="26"/>
        </w:rPr>
        <w:t xml:space="preserve">risku </w:t>
      </w:r>
      <w:r w:rsidR="007D51BD">
        <w:rPr>
          <w:color w:val="000000" w:themeColor="text1"/>
          <w:sz w:val="26"/>
          <w:szCs w:val="26"/>
        </w:rPr>
        <w:t xml:space="preserve">identificēšanu un </w:t>
      </w:r>
      <w:r w:rsidR="007D51BD" w:rsidRPr="00506C8C">
        <w:rPr>
          <w:color w:val="000000" w:themeColor="text1"/>
          <w:sz w:val="26"/>
          <w:szCs w:val="26"/>
        </w:rPr>
        <w:t>novēršanu,</w:t>
      </w:r>
      <w:r w:rsidR="007D51BD">
        <w:rPr>
          <w:color w:val="000000" w:themeColor="text1"/>
          <w:sz w:val="26"/>
          <w:szCs w:val="26"/>
        </w:rPr>
        <w:t xml:space="preserve"> koruptīvo sistēmu atklāšanu un sagraušanu </w:t>
      </w:r>
      <w:r>
        <w:rPr>
          <w:color w:val="000000" w:themeColor="text1"/>
          <w:sz w:val="26"/>
          <w:szCs w:val="26"/>
        </w:rPr>
        <w:t>prioritār</w:t>
      </w:r>
      <w:r w:rsidR="007D51BD">
        <w:rPr>
          <w:color w:val="000000" w:themeColor="text1"/>
          <w:sz w:val="26"/>
          <w:szCs w:val="26"/>
        </w:rPr>
        <w:t>ajās</w:t>
      </w:r>
      <w:r>
        <w:rPr>
          <w:color w:val="000000" w:themeColor="text1"/>
          <w:sz w:val="26"/>
          <w:szCs w:val="26"/>
        </w:rPr>
        <w:t xml:space="preserve"> jom</w:t>
      </w:r>
      <w:r w:rsidR="007D51BD">
        <w:rPr>
          <w:color w:val="000000" w:themeColor="text1"/>
          <w:sz w:val="26"/>
          <w:szCs w:val="26"/>
        </w:rPr>
        <w:t>ās</w:t>
      </w:r>
      <w:r w:rsidR="00460E56" w:rsidRPr="00506C8C">
        <w:rPr>
          <w:color w:val="000000" w:themeColor="text1"/>
          <w:sz w:val="26"/>
          <w:szCs w:val="26"/>
        </w:rPr>
        <w:t xml:space="preserve">. Biroja nozīmīgākie resursi </w:t>
      </w:r>
      <w:r w:rsidR="007D51BD">
        <w:rPr>
          <w:color w:val="000000" w:themeColor="text1"/>
          <w:sz w:val="26"/>
          <w:szCs w:val="26"/>
        </w:rPr>
        <w:t>tiks</w:t>
      </w:r>
      <w:r w:rsidR="00460E56" w:rsidRPr="00506C8C">
        <w:rPr>
          <w:color w:val="000000" w:themeColor="text1"/>
          <w:sz w:val="26"/>
          <w:szCs w:val="26"/>
        </w:rPr>
        <w:t xml:space="preserve"> koncentrē</w:t>
      </w:r>
      <w:r w:rsidR="007D51BD">
        <w:rPr>
          <w:color w:val="000000" w:themeColor="text1"/>
          <w:sz w:val="26"/>
          <w:szCs w:val="26"/>
        </w:rPr>
        <w:t>ti</w:t>
      </w:r>
      <w:r w:rsidR="00460E56" w:rsidRPr="00506C8C">
        <w:rPr>
          <w:color w:val="000000" w:themeColor="text1"/>
          <w:sz w:val="26"/>
          <w:szCs w:val="26"/>
        </w:rPr>
        <w:t xml:space="preserve"> šādu prioritāro uzdevumu veikšanai:</w:t>
      </w:r>
    </w:p>
    <w:p w14:paraId="42D0F26F" w14:textId="77777777" w:rsidR="00460E56" w:rsidRPr="00506C8C" w:rsidRDefault="00460E56" w:rsidP="00460E56">
      <w:pPr>
        <w:rPr>
          <w:bCs/>
          <w:color w:val="000000" w:themeColor="text1"/>
          <w:sz w:val="26"/>
          <w:szCs w:val="26"/>
        </w:rPr>
      </w:pPr>
      <w:r w:rsidRPr="00506C8C">
        <w:rPr>
          <w:color w:val="000000" w:themeColor="text1"/>
          <w:sz w:val="26"/>
          <w:szCs w:val="26"/>
        </w:rPr>
        <w:t xml:space="preserve">1. Mazināt </w:t>
      </w:r>
      <w:r w:rsidRPr="00506C8C">
        <w:rPr>
          <w:bCs/>
          <w:color w:val="000000" w:themeColor="text1"/>
          <w:sz w:val="26"/>
          <w:szCs w:val="26"/>
        </w:rPr>
        <w:t xml:space="preserve">valsts amatpersonu prettiesiskas rīcības ar publiskas personas mantu un finanšu līdzekļiem </w:t>
      </w:r>
      <w:r w:rsidR="00B406C7">
        <w:rPr>
          <w:bCs/>
          <w:color w:val="000000" w:themeColor="text1"/>
          <w:sz w:val="26"/>
          <w:szCs w:val="26"/>
        </w:rPr>
        <w:t>iespējamību</w:t>
      </w:r>
      <w:r w:rsidRPr="00506C8C">
        <w:rPr>
          <w:bCs/>
          <w:color w:val="000000" w:themeColor="text1"/>
          <w:sz w:val="26"/>
          <w:szCs w:val="26"/>
        </w:rPr>
        <w:t>, kā arī izskaust koruptīvus noziedzīgus nodarījumus publi</w:t>
      </w:r>
      <w:r w:rsidR="002E2C19" w:rsidRPr="00506C8C">
        <w:rPr>
          <w:bCs/>
          <w:color w:val="000000" w:themeColor="text1"/>
          <w:sz w:val="26"/>
          <w:szCs w:val="26"/>
        </w:rPr>
        <w:t xml:space="preserve">skas personas institūcijās, </w:t>
      </w:r>
      <w:r w:rsidRPr="00506C8C">
        <w:rPr>
          <w:bCs/>
          <w:color w:val="000000" w:themeColor="text1"/>
          <w:sz w:val="26"/>
          <w:szCs w:val="26"/>
        </w:rPr>
        <w:t xml:space="preserve">veicot mērķtiecīgas darbības </w:t>
      </w:r>
      <w:r w:rsidRPr="003E1DCD">
        <w:rPr>
          <w:bCs/>
          <w:color w:val="000000" w:themeColor="text1"/>
          <w:sz w:val="26"/>
          <w:szCs w:val="26"/>
        </w:rPr>
        <w:t>šād</w:t>
      </w:r>
      <w:r w:rsidR="003E1DCD">
        <w:rPr>
          <w:bCs/>
          <w:color w:val="000000" w:themeColor="text1"/>
          <w:sz w:val="26"/>
          <w:szCs w:val="26"/>
        </w:rPr>
        <w:t>ā</w:t>
      </w:r>
      <w:r w:rsidRPr="003E1DCD">
        <w:rPr>
          <w:bCs/>
          <w:color w:val="000000" w:themeColor="text1"/>
          <w:sz w:val="26"/>
          <w:szCs w:val="26"/>
        </w:rPr>
        <w:t>s prio</w:t>
      </w:r>
      <w:r w:rsidR="00E6060B" w:rsidRPr="003E1DCD">
        <w:rPr>
          <w:bCs/>
          <w:color w:val="000000" w:themeColor="text1"/>
          <w:sz w:val="26"/>
          <w:szCs w:val="26"/>
        </w:rPr>
        <w:t>ritāraj</w:t>
      </w:r>
      <w:r w:rsidR="003E1DCD">
        <w:rPr>
          <w:bCs/>
          <w:color w:val="000000" w:themeColor="text1"/>
          <w:sz w:val="26"/>
          <w:szCs w:val="26"/>
        </w:rPr>
        <w:t>ā</w:t>
      </w:r>
      <w:r w:rsidR="00E6060B" w:rsidRPr="003E1DCD">
        <w:rPr>
          <w:bCs/>
          <w:color w:val="000000" w:themeColor="text1"/>
          <w:sz w:val="26"/>
          <w:szCs w:val="26"/>
        </w:rPr>
        <w:t xml:space="preserve">s </w:t>
      </w:r>
      <w:r w:rsidR="003E1DCD">
        <w:rPr>
          <w:bCs/>
          <w:color w:val="000000" w:themeColor="text1"/>
          <w:sz w:val="26"/>
          <w:szCs w:val="26"/>
        </w:rPr>
        <w:t>jomās</w:t>
      </w:r>
      <w:r w:rsidRPr="003E1DCD">
        <w:rPr>
          <w:bCs/>
          <w:color w:val="000000" w:themeColor="text1"/>
          <w:sz w:val="26"/>
          <w:szCs w:val="26"/>
        </w:rPr>
        <w:t>:</w:t>
      </w:r>
    </w:p>
    <w:p w14:paraId="42D0F270" w14:textId="77777777" w:rsidR="007162DD" w:rsidRPr="001517B5" w:rsidRDefault="00061881" w:rsidP="00F71BB7">
      <w:pPr>
        <w:pStyle w:val="NoSpacing"/>
        <w:ind w:firstLine="709"/>
        <w:jc w:val="both"/>
        <w:rPr>
          <w:b w:val="0"/>
          <w:color w:val="FF0000"/>
          <w:sz w:val="26"/>
          <w:szCs w:val="26"/>
        </w:rPr>
      </w:pPr>
      <w:r>
        <w:rPr>
          <w:b w:val="0"/>
          <w:color w:val="000000" w:themeColor="text1"/>
          <w:sz w:val="26"/>
          <w:szCs w:val="26"/>
        </w:rPr>
        <w:t>1.1. </w:t>
      </w:r>
      <w:r w:rsidR="00D60190">
        <w:rPr>
          <w:b w:val="0"/>
          <w:color w:val="000000" w:themeColor="text1"/>
          <w:sz w:val="26"/>
          <w:szCs w:val="26"/>
        </w:rPr>
        <w:t>t</w:t>
      </w:r>
      <w:r w:rsidR="00212B90">
        <w:rPr>
          <w:b w:val="0"/>
          <w:color w:val="000000" w:themeColor="text1"/>
          <w:sz w:val="26"/>
          <w:szCs w:val="26"/>
        </w:rPr>
        <w:t>iesu varas institūcijās</w:t>
      </w:r>
      <w:r w:rsidR="00D60190">
        <w:rPr>
          <w:b w:val="0"/>
          <w:color w:val="000000" w:themeColor="text1"/>
          <w:sz w:val="26"/>
          <w:szCs w:val="26"/>
        </w:rPr>
        <w:t>;</w:t>
      </w:r>
    </w:p>
    <w:p w14:paraId="42D0F271" w14:textId="77777777" w:rsidR="00061881" w:rsidRDefault="00B406C7" w:rsidP="00F71BB7">
      <w:pPr>
        <w:pStyle w:val="NoSpacing"/>
        <w:ind w:firstLine="709"/>
        <w:jc w:val="both"/>
        <w:rPr>
          <w:b w:val="0"/>
          <w:color w:val="000000" w:themeColor="text1"/>
          <w:sz w:val="26"/>
          <w:szCs w:val="26"/>
        </w:rPr>
      </w:pPr>
      <w:r>
        <w:rPr>
          <w:b w:val="0"/>
          <w:color w:val="000000" w:themeColor="text1"/>
          <w:sz w:val="26"/>
          <w:szCs w:val="26"/>
        </w:rPr>
        <w:t>1.2. </w:t>
      </w:r>
      <w:r w:rsidR="00D60190">
        <w:rPr>
          <w:b w:val="0"/>
          <w:color w:val="000000" w:themeColor="text1"/>
          <w:sz w:val="26"/>
          <w:szCs w:val="26"/>
        </w:rPr>
        <w:t>p</w:t>
      </w:r>
      <w:r>
        <w:rPr>
          <w:b w:val="0"/>
          <w:color w:val="000000" w:themeColor="text1"/>
          <w:sz w:val="26"/>
          <w:szCs w:val="26"/>
        </w:rPr>
        <w:t>ubliskajos iepirkumos</w:t>
      </w:r>
      <w:r w:rsidR="00061881">
        <w:rPr>
          <w:b w:val="0"/>
          <w:color w:val="000000" w:themeColor="text1"/>
          <w:sz w:val="26"/>
          <w:szCs w:val="26"/>
        </w:rPr>
        <w:t>:</w:t>
      </w:r>
    </w:p>
    <w:p w14:paraId="42D0F272" w14:textId="77777777" w:rsidR="00280C27" w:rsidRDefault="00280C27" w:rsidP="00470C3F">
      <w:pPr>
        <w:pStyle w:val="NoSpacing"/>
        <w:numPr>
          <w:ilvl w:val="2"/>
          <w:numId w:val="48"/>
        </w:numPr>
        <w:jc w:val="both"/>
        <w:rPr>
          <w:b w:val="0"/>
          <w:color w:val="000000" w:themeColor="text1"/>
          <w:sz w:val="26"/>
          <w:szCs w:val="26"/>
        </w:rPr>
      </w:pPr>
      <w:r>
        <w:rPr>
          <w:b w:val="0"/>
          <w:color w:val="000000" w:themeColor="text1"/>
          <w:sz w:val="26"/>
          <w:szCs w:val="26"/>
        </w:rPr>
        <w:t>Eiropas Savienības finansētajos projektos;</w:t>
      </w:r>
    </w:p>
    <w:p w14:paraId="42D0F273" w14:textId="77777777" w:rsidR="00061881" w:rsidRDefault="00061881" w:rsidP="00470C3F">
      <w:pPr>
        <w:pStyle w:val="NoSpacing"/>
        <w:numPr>
          <w:ilvl w:val="2"/>
          <w:numId w:val="48"/>
        </w:numPr>
        <w:jc w:val="both"/>
        <w:rPr>
          <w:b w:val="0"/>
          <w:color w:val="000000" w:themeColor="text1"/>
          <w:sz w:val="26"/>
          <w:szCs w:val="26"/>
        </w:rPr>
      </w:pPr>
      <w:r>
        <w:rPr>
          <w:b w:val="0"/>
          <w:color w:val="000000" w:themeColor="text1"/>
          <w:sz w:val="26"/>
          <w:szCs w:val="26"/>
        </w:rPr>
        <w:t>veselības nozar</w:t>
      </w:r>
      <w:r w:rsidR="005515B7">
        <w:rPr>
          <w:b w:val="0"/>
          <w:color w:val="000000" w:themeColor="text1"/>
          <w:sz w:val="26"/>
          <w:szCs w:val="26"/>
        </w:rPr>
        <w:t>ē</w:t>
      </w:r>
      <w:r>
        <w:rPr>
          <w:b w:val="0"/>
          <w:color w:val="000000" w:themeColor="text1"/>
          <w:sz w:val="26"/>
          <w:szCs w:val="26"/>
        </w:rPr>
        <w:t>;</w:t>
      </w:r>
      <w:bookmarkStart w:id="5" w:name="_GoBack"/>
      <w:bookmarkEnd w:id="5"/>
    </w:p>
    <w:p w14:paraId="42D0F274" w14:textId="77777777" w:rsidR="00061881" w:rsidRDefault="005515B7" w:rsidP="00470C3F">
      <w:pPr>
        <w:pStyle w:val="NoSpacing"/>
        <w:numPr>
          <w:ilvl w:val="2"/>
          <w:numId w:val="48"/>
        </w:numPr>
        <w:jc w:val="both"/>
        <w:rPr>
          <w:b w:val="0"/>
          <w:color w:val="000000" w:themeColor="text1"/>
          <w:sz w:val="26"/>
          <w:szCs w:val="26"/>
        </w:rPr>
      </w:pPr>
      <w:r>
        <w:rPr>
          <w:b w:val="0"/>
          <w:color w:val="000000" w:themeColor="text1"/>
          <w:sz w:val="26"/>
          <w:szCs w:val="26"/>
        </w:rPr>
        <w:t>būvniecības nozarē</w:t>
      </w:r>
      <w:r w:rsidR="00061881">
        <w:rPr>
          <w:b w:val="0"/>
          <w:color w:val="000000" w:themeColor="text1"/>
          <w:sz w:val="26"/>
          <w:szCs w:val="26"/>
        </w:rPr>
        <w:t>;</w:t>
      </w:r>
    </w:p>
    <w:p w14:paraId="42D0F275" w14:textId="77777777" w:rsidR="00061881" w:rsidRDefault="00061881" w:rsidP="00470C3F">
      <w:pPr>
        <w:pStyle w:val="NoSpacing"/>
        <w:numPr>
          <w:ilvl w:val="2"/>
          <w:numId w:val="48"/>
        </w:numPr>
        <w:jc w:val="both"/>
        <w:rPr>
          <w:b w:val="0"/>
          <w:color w:val="000000" w:themeColor="text1"/>
          <w:sz w:val="26"/>
          <w:szCs w:val="26"/>
        </w:rPr>
      </w:pPr>
      <w:r>
        <w:rPr>
          <w:b w:val="0"/>
          <w:color w:val="000000" w:themeColor="text1"/>
          <w:sz w:val="26"/>
          <w:szCs w:val="26"/>
        </w:rPr>
        <w:t>Latvijas lielāk</w:t>
      </w:r>
      <w:r w:rsidR="005515B7">
        <w:rPr>
          <w:b w:val="0"/>
          <w:color w:val="000000" w:themeColor="text1"/>
          <w:sz w:val="26"/>
          <w:szCs w:val="26"/>
        </w:rPr>
        <w:t>ajās pašvaldībā</w:t>
      </w:r>
      <w:r>
        <w:rPr>
          <w:b w:val="0"/>
          <w:color w:val="000000" w:themeColor="text1"/>
          <w:sz w:val="26"/>
          <w:szCs w:val="26"/>
        </w:rPr>
        <w:t>s.</w:t>
      </w:r>
    </w:p>
    <w:p w14:paraId="42D0F276" w14:textId="77777777" w:rsidR="00BF0CF2" w:rsidRPr="00F71BB7" w:rsidRDefault="007E0C2D" w:rsidP="00AB6372">
      <w:pPr>
        <w:pStyle w:val="NoSpacing"/>
        <w:ind w:firstLine="709"/>
        <w:jc w:val="both"/>
        <w:rPr>
          <w:b w:val="0"/>
          <w:color w:val="000000" w:themeColor="text1"/>
          <w:sz w:val="26"/>
          <w:szCs w:val="26"/>
        </w:rPr>
      </w:pPr>
      <w:r w:rsidRPr="00F71BB7">
        <w:rPr>
          <w:b w:val="0"/>
          <w:color w:val="000000" w:themeColor="text1"/>
          <w:sz w:val="26"/>
          <w:szCs w:val="26"/>
        </w:rPr>
        <w:t>2</w:t>
      </w:r>
      <w:r w:rsidR="00D9006C" w:rsidRPr="00F71BB7">
        <w:rPr>
          <w:b w:val="0"/>
          <w:color w:val="000000" w:themeColor="text1"/>
          <w:sz w:val="26"/>
          <w:szCs w:val="26"/>
        </w:rPr>
        <w:t>.</w:t>
      </w:r>
      <w:r w:rsidR="00D9006C" w:rsidRPr="00F71BB7">
        <w:rPr>
          <w:color w:val="000000" w:themeColor="text1"/>
          <w:sz w:val="26"/>
          <w:szCs w:val="26"/>
        </w:rPr>
        <w:t xml:space="preserve"> </w:t>
      </w:r>
      <w:r w:rsidR="00BC0D5B" w:rsidRPr="00BC0D5B">
        <w:rPr>
          <w:b w:val="0"/>
          <w:color w:val="000000" w:themeColor="text1"/>
          <w:sz w:val="26"/>
          <w:szCs w:val="26"/>
        </w:rPr>
        <w:t>Pilnveidot politisko partiju finansēšanas un priekšvēlēšanu aģitācija</w:t>
      </w:r>
      <w:r w:rsidR="00BC0D5B">
        <w:rPr>
          <w:b w:val="0"/>
          <w:color w:val="000000" w:themeColor="text1"/>
          <w:sz w:val="26"/>
          <w:szCs w:val="26"/>
        </w:rPr>
        <w:t>s likumības uzraudzības ietvaru un</w:t>
      </w:r>
      <w:r w:rsidR="00646C98">
        <w:rPr>
          <w:b w:val="0"/>
          <w:color w:val="000000" w:themeColor="text1"/>
          <w:sz w:val="26"/>
          <w:szCs w:val="26"/>
        </w:rPr>
        <w:t xml:space="preserve"> apkarot</w:t>
      </w:r>
      <w:r w:rsidR="00BC0D5B" w:rsidRPr="00BC0D5B">
        <w:rPr>
          <w:b w:val="0"/>
          <w:color w:val="000000" w:themeColor="text1"/>
          <w:sz w:val="26"/>
          <w:szCs w:val="26"/>
        </w:rPr>
        <w:t xml:space="preserve"> politisko organizāciju nelikumīg</w:t>
      </w:r>
      <w:r w:rsidR="00646C98">
        <w:rPr>
          <w:b w:val="0"/>
          <w:color w:val="000000" w:themeColor="text1"/>
          <w:sz w:val="26"/>
          <w:szCs w:val="26"/>
        </w:rPr>
        <w:t>u</w:t>
      </w:r>
      <w:r w:rsidR="00BC0D5B" w:rsidRPr="00BC0D5B">
        <w:rPr>
          <w:b w:val="0"/>
          <w:color w:val="000000" w:themeColor="text1"/>
          <w:sz w:val="26"/>
          <w:szCs w:val="26"/>
        </w:rPr>
        <w:t xml:space="preserve"> finansēšan</w:t>
      </w:r>
      <w:r w:rsidR="00646C98">
        <w:rPr>
          <w:b w:val="0"/>
          <w:color w:val="000000" w:themeColor="text1"/>
          <w:sz w:val="26"/>
          <w:szCs w:val="26"/>
        </w:rPr>
        <w:t>u</w:t>
      </w:r>
      <w:r w:rsidR="00BC0D5B" w:rsidRPr="00BC0D5B">
        <w:rPr>
          <w:b w:val="0"/>
          <w:color w:val="000000" w:themeColor="text1"/>
          <w:sz w:val="26"/>
          <w:szCs w:val="26"/>
        </w:rPr>
        <w:t xml:space="preserve"> lielā</w:t>
      </w:r>
      <w:r w:rsidR="00AB6372">
        <w:rPr>
          <w:b w:val="0"/>
          <w:color w:val="000000" w:themeColor="text1"/>
          <w:sz w:val="26"/>
          <w:szCs w:val="26"/>
        </w:rPr>
        <w:t xml:space="preserve"> apmērā ar mērķi</w:t>
      </w:r>
      <w:r w:rsidR="00BC0D5B" w:rsidRPr="00BC0D5B">
        <w:rPr>
          <w:b w:val="0"/>
          <w:color w:val="000000" w:themeColor="text1"/>
          <w:sz w:val="26"/>
          <w:szCs w:val="26"/>
        </w:rPr>
        <w:t xml:space="preserve"> </w:t>
      </w:r>
      <w:r w:rsidR="00AB6372">
        <w:rPr>
          <w:b w:val="0"/>
          <w:color w:val="000000" w:themeColor="text1"/>
          <w:sz w:val="26"/>
          <w:szCs w:val="26"/>
        </w:rPr>
        <w:t>mazinā</w:t>
      </w:r>
      <w:r w:rsidR="00BC0D5B" w:rsidRPr="00BC0D5B">
        <w:rPr>
          <w:b w:val="0"/>
          <w:color w:val="000000" w:themeColor="text1"/>
          <w:sz w:val="26"/>
          <w:szCs w:val="26"/>
        </w:rPr>
        <w:t>t naudas lomu politikā</w:t>
      </w:r>
      <w:r w:rsidR="00F71BB7">
        <w:rPr>
          <w:b w:val="0"/>
          <w:color w:val="000000" w:themeColor="text1"/>
          <w:sz w:val="26"/>
          <w:szCs w:val="26"/>
        </w:rPr>
        <w:t>.</w:t>
      </w:r>
    </w:p>
    <w:p w14:paraId="42D0F277" w14:textId="77777777" w:rsidR="007E0C2D" w:rsidRDefault="00BF0CF2" w:rsidP="00F71BB7">
      <w:pPr>
        <w:pStyle w:val="NoSpacing"/>
        <w:ind w:firstLine="709"/>
        <w:jc w:val="both"/>
        <w:rPr>
          <w:b w:val="0"/>
          <w:color w:val="000000" w:themeColor="text1"/>
          <w:sz w:val="26"/>
          <w:szCs w:val="26"/>
        </w:rPr>
      </w:pPr>
      <w:r w:rsidRPr="00F71BB7">
        <w:rPr>
          <w:b w:val="0"/>
          <w:color w:val="000000" w:themeColor="text1"/>
          <w:sz w:val="26"/>
          <w:szCs w:val="26"/>
        </w:rPr>
        <w:t>3.</w:t>
      </w:r>
      <w:r w:rsidR="00470C3F" w:rsidRPr="00F71BB7">
        <w:rPr>
          <w:b w:val="0"/>
          <w:color w:val="000000" w:themeColor="text1"/>
          <w:sz w:val="26"/>
          <w:szCs w:val="26"/>
        </w:rPr>
        <w:t xml:space="preserve"> </w:t>
      </w:r>
      <w:r w:rsidR="00D9006C" w:rsidRPr="00506C8C">
        <w:rPr>
          <w:b w:val="0"/>
          <w:color w:val="000000" w:themeColor="text1"/>
          <w:sz w:val="26"/>
          <w:szCs w:val="26"/>
        </w:rPr>
        <w:t xml:space="preserve">Stiprināt Biroja </w:t>
      </w:r>
      <w:r w:rsidR="00E6060B">
        <w:rPr>
          <w:b w:val="0"/>
          <w:color w:val="000000" w:themeColor="text1"/>
          <w:sz w:val="26"/>
          <w:szCs w:val="26"/>
        </w:rPr>
        <w:t>analītisko kapacitāti</w:t>
      </w:r>
      <w:r w:rsidR="00D9006C" w:rsidRPr="00506C8C">
        <w:rPr>
          <w:b w:val="0"/>
          <w:color w:val="000000" w:themeColor="text1"/>
          <w:sz w:val="26"/>
          <w:szCs w:val="26"/>
        </w:rPr>
        <w:t>, nodrošin</w:t>
      </w:r>
      <w:r w:rsidR="00E6060B">
        <w:rPr>
          <w:b w:val="0"/>
          <w:color w:val="000000" w:themeColor="text1"/>
          <w:sz w:val="26"/>
          <w:szCs w:val="26"/>
        </w:rPr>
        <w:t>ā</w:t>
      </w:r>
      <w:r w:rsidR="00D9006C" w:rsidRPr="00506C8C">
        <w:rPr>
          <w:b w:val="0"/>
          <w:color w:val="000000" w:themeColor="text1"/>
          <w:sz w:val="26"/>
          <w:szCs w:val="26"/>
        </w:rPr>
        <w:t xml:space="preserve">t </w:t>
      </w:r>
      <w:r w:rsidR="00E6060B">
        <w:rPr>
          <w:b w:val="0"/>
          <w:color w:val="000000" w:themeColor="text1"/>
          <w:sz w:val="26"/>
          <w:szCs w:val="26"/>
        </w:rPr>
        <w:t xml:space="preserve">Biroja </w:t>
      </w:r>
      <w:r w:rsidR="000F7FFA">
        <w:rPr>
          <w:b w:val="0"/>
          <w:color w:val="000000" w:themeColor="text1"/>
          <w:sz w:val="26"/>
          <w:szCs w:val="26"/>
        </w:rPr>
        <w:t>amatpersonu</w:t>
      </w:r>
      <w:r w:rsidR="00D9006C" w:rsidRPr="00506C8C">
        <w:rPr>
          <w:b w:val="0"/>
          <w:color w:val="000000" w:themeColor="text1"/>
          <w:sz w:val="26"/>
          <w:szCs w:val="26"/>
        </w:rPr>
        <w:t xml:space="preserve"> kvalifikācijas</w:t>
      </w:r>
      <w:r w:rsidR="00470C3F">
        <w:rPr>
          <w:b w:val="0"/>
          <w:color w:val="000000" w:themeColor="text1"/>
          <w:sz w:val="26"/>
          <w:szCs w:val="26"/>
        </w:rPr>
        <w:t xml:space="preserve"> </w:t>
      </w:r>
      <w:r w:rsidR="00D9006C" w:rsidRPr="00506C8C">
        <w:rPr>
          <w:b w:val="0"/>
          <w:color w:val="000000" w:themeColor="text1"/>
          <w:sz w:val="26"/>
          <w:szCs w:val="26"/>
        </w:rPr>
        <w:t>celšanu</w:t>
      </w:r>
      <w:r w:rsidR="00470C3F">
        <w:rPr>
          <w:b w:val="0"/>
          <w:color w:val="000000" w:themeColor="text1"/>
          <w:sz w:val="26"/>
          <w:szCs w:val="26"/>
        </w:rPr>
        <w:t xml:space="preserve">, </w:t>
      </w:r>
      <w:r w:rsidR="00D9006C" w:rsidRPr="00506C8C">
        <w:rPr>
          <w:b w:val="0"/>
          <w:color w:val="000000" w:themeColor="text1"/>
          <w:sz w:val="26"/>
          <w:szCs w:val="26"/>
        </w:rPr>
        <w:t>kā arī turpināt risināt jautājumu</w:t>
      </w:r>
      <w:r w:rsidR="00964ADE">
        <w:rPr>
          <w:b w:val="0"/>
          <w:color w:val="000000" w:themeColor="text1"/>
          <w:sz w:val="26"/>
          <w:szCs w:val="26"/>
        </w:rPr>
        <w:t>s</w:t>
      </w:r>
      <w:r w:rsidR="00D9006C" w:rsidRPr="00506C8C">
        <w:rPr>
          <w:b w:val="0"/>
          <w:color w:val="000000" w:themeColor="text1"/>
          <w:sz w:val="26"/>
          <w:szCs w:val="26"/>
        </w:rPr>
        <w:t xml:space="preserve"> par Biroja amatpersonu atlīdzības paaugstināšanu un sociālo garantiju uzlabošanu, la</w:t>
      </w:r>
      <w:r w:rsidR="00470C3F">
        <w:rPr>
          <w:b w:val="0"/>
          <w:color w:val="000000" w:themeColor="text1"/>
          <w:sz w:val="26"/>
          <w:szCs w:val="26"/>
        </w:rPr>
        <w:t>i nodrošinātu</w:t>
      </w:r>
      <w:r w:rsidR="00964ADE">
        <w:rPr>
          <w:b w:val="0"/>
          <w:color w:val="000000" w:themeColor="text1"/>
          <w:sz w:val="26"/>
          <w:szCs w:val="26"/>
        </w:rPr>
        <w:t xml:space="preserve"> Birojā nodarbinātajiem</w:t>
      </w:r>
      <w:r w:rsidR="00470C3F">
        <w:rPr>
          <w:b w:val="0"/>
          <w:color w:val="000000" w:themeColor="text1"/>
          <w:sz w:val="26"/>
          <w:szCs w:val="26"/>
        </w:rPr>
        <w:t xml:space="preserve"> konkurētspējīgu atalgojumu. </w:t>
      </w:r>
    </w:p>
    <w:p w14:paraId="42D0F278" w14:textId="77777777" w:rsidR="005515B7" w:rsidRPr="0038447A" w:rsidRDefault="005515B7" w:rsidP="00460E56">
      <w:pPr>
        <w:pStyle w:val="NoSpacing"/>
        <w:rPr>
          <w:b w:val="0"/>
          <w:sz w:val="26"/>
          <w:szCs w:val="26"/>
        </w:rPr>
      </w:pPr>
    </w:p>
    <w:p w14:paraId="42D0F279" w14:textId="77777777" w:rsidR="00B15CE3" w:rsidRPr="0038447A" w:rsidRDefault="00156C83" w:rsidP="005A11F2">
      <w:pPr>
        <w:pStyle w:val="Heading2"/>
        <w:numPr>
          <w:ilvl w:val="1"/>
          <w:numId w:val="29"/>
        </w:numPr>
        <w:ind w:left="0" w:firstLine="0"/>
        <w:rPr>
          <w:sz w:val="26"/>
        </w:rPr>
      </w:pPr>
      <w:bookmarkStart w:id="6" w:name="_Toc452993376"/>
      <w:bookmarkStart w:id="7" w:name="_Toc500150882"/>
      <w:r w:rsidRPr="0038447A">
        <w:rPr>
          <w:sz w:val="26"/>
        </w:rPr>
        <w:lastRenderedPageBreak/>
        <w:t>Biroja īstenoti</w:t>
      </w:r>
      <w:r w:rsidR="00B03F2E" w:rsidRPr="0038447A">
        <w:rPr>
          <w:sz w:val="26"/>
        </w:rPr>
        <w:t>e</w:t>
      </w:r>
      <w:r w:rsidR="006D4E04" w:rsidRPr="0038447A">
        <w:rPr>
          <w:sz w:val="26"/>
        </w:rPr>
        <w:t xml:space="preserve"> darbības virzien</w:t>
      </w:r>
      <w:bookmarkEnd w:id="6"/>
      <w:r w:rsidR="004E3570" w:rsidRPr="0038447A">
        <w:rPr>
          <w:sz w:val="26"/>
        </w:rPr>
        <w:t>i un to apraksts</w:t>
      </w:r>
      <w:bookmarkEnd w:id="7"/>
    </w:p>
    <w:p w14:paraId="42D0F27A" w14:textId="77777777" w:rsidR="00126704" w:rsidRPr="0038447A" w:rsidRDefault="00126704" w:rsidP="00052E35">
      <w:pPr>
        <w:rPr>
          <w:sz w:val="26"/>
          <w:szCs w:val="26"/>
        </w:rPr>
      </w:pPr>
      <w:r w:rsidRPr="0038447A">
        <w:rPr>
          <w:sz w:val="26"/>
          <w:szCs w:val="26"/>
        </w:rPr>
        <w:t>Biroja īstenotais darbības virzien</w:t>
      </w:r>
      <w:r w:rsidR="00964ADE">
        <w:rPr>
          <w:sz w:val="26"/>
          <w:szCs w:val="26"/>
        </w:rPr>
        <w:t>i</w:t>
      </w:r>
      <w:r w:rsidRPr="0038447A">
        <w:rPr>
          <w:sz w:val="26"/>
          <w:szCs w:val="26"/>
        </w:rPr>
        <w:t xml:space="preserve"> ir korupcijas novēršana un apkarošana, politisko partiju finansēšanas noteikumu izpildes kontrole, nodrošinot:</w:t>
      </w:r>
    </w:p>
    <w:p w14:paraId="42D0F27B" w14:textId="77777777" w:rsidR="00126704" w:rsidRPr="0038447A" w:rsidRDefault="00DB1DC5" w:rsidP="00126704">
      <w:pPr>
        <w:pStyle w:val="ListParagraph"/>
        <w:numPr>
          <w:ilvl w:val="0"/>
          <w:numId w:val="6"/>
        </w:numPr>
        <w:rPr>
          <w:sz w:val="26"/>
          <w:szCs w:val="26"/>
        </w:rPr>
      </w:pPr>
      <w:r w:rsidRPr="0038447A">
        <w:rPr>
          <w:sz w:val="26"/>
          <w:szCs w:val="26"/>
        </w:rPr>
        <w:t>n</w:t>
      </w:r>
      <w:r w:rsidR="00126704" w:rsidRPr="0038447A">
        <w:rPr>
          <w:sz w:val="26"/>
          <w:szCs w:val="26"/>
        </w:rPr>
        <w:t>oziedzīgu nodarījumu atklāšanu un izmeklēšanu;</w:t>
      </w:r>
    </w:p>
    <w:p w14:paraId="42D0F27C" w14:textId="77777777" w:rsidR="00126704" w:rsidRPr="0038447A" w:rsidRDefault="00DB1DC5" w:rsidP="00126704">
      <w:pPr>
        <w:pStyle w:val="ListParagraph"/>
        <w:numPr>
          <w:ilvl w:val="0"/>
          <w:numId w:val="6"/>
        </w:numPr>
        <w:rPr>
          <w:sz w:val="26"/>
          <w:szCs w:val="26"/>
        </w:rPr>
      </w:pPr>
      <w:r w:rsidRPr="0038447A">
        <w:rPr>
          <w:sz w:val="26"/>
          <w:szCs w:val="26"/>
        </w:rPr>
        <w:t>v</w:t>
      </w:r>
      <w:r w:rsidR="00126704" w:rsidRPr="0038447A">
        <w:rPr>
          <w:sz w:val="26"/>
          <w:szCs w:val="26"/>
        </w:rPr>
        <w:t>alsts amatpersonu darbības kontroli;</w:t>
      </w:r>
    </w:p>
    <w:p w14:paraId="42D0F27D" w14:textId="77777777" w:rsidR="00126704" w:rsidRPr="0038447A" w:rsidRDefault="00DB1DC5" w:rsidP="00126704">
      <w:pPr>
        <w:pStyle w:val="ListParagraph"/>
        <w:numPr>
          <w:ilvl w:val="0"/>
          <w:numId w:val="6"/>
        </w:numPr>
        <w:rPr>
          <w:sz w:val="26"/>
          <w:szCs w:val="26"/>
        </w:rPr>
      </w:pPr>
      <w:r w:rsidRPr="0038447A">
        <w:rPr>
          <w:sz w:val="26"/>
          <w:szCs w:val="26"/>
        </w:rPr>
        <w:t>p</w:t>
      </w:r>
      <w:r w:rsidR="00126704" w:rsidRPr="0038447A">
        <w:rPr>
          <w:sz w:val="26"/>
          <w:szCs w:val="26"/>
        </w:rPr>
        <w:t>olitisko partiju finansēšanas kontroli un aģitācijas uzraudzību;</w:t>
      </w:r>
    </w:p>
    <w:p w14:paraId="42D0F27E" w14:textId="77777777" w:rsidR="00126704" w:rsidRPr="0038447A" w:rsidRDefault="00DB1DC5" w:rsidP="00126704">
      <w:pPr>
        <w:pStyle w:val="ListParagraph"/>
        <w:numPr>
          <w:ilvl w:val="0"/>
          <w:numId w:val="6"/>
        </w:numPr>
        <w:rPr>
          <w:sz w:val="26"/>
          <w:szCs w:val="26"/>
        </w:rPr>
      </w:pPr>
      <w:r w:rsidRPr="0038447A">
        <w:rPr>
          <w:sz w:val="26"/>
          <w:szCs w:val="26"/>
        </w:rPr>
        <w:t>s</w:t>
      </w:r>
      <w:r w:rsidR="00126704" w:rsidRPr="0038447A">
        <w:rPr>
          <w:sz w:val="26"/>
          <w:szCs w:val="26"/>
        </w:rPr>
        <w:t xml:space="preserve">abiedrības </w:t>
      </w:r>
      <w:r w:rsidR="00A84216" w:rsidRPr="0038447A">
        <w:rPr>
          <w:sz w:val="26"/>
          <w:szCs w:val="26"/>
        </w:rPr>
        <w:t>informēšan</w:t>
      </w:r>
      <w:r w:rsidR="00964ADE">
        <w:rPr>
          <w:sz w:val="26"/>
          <w:szCs w:val="26"/>
        </w:rPr>
        <w:t>u</w:t>
      </w:r>
      <w:r w:rsidR="00126704" w:rsidRPr="0038447A">
        <w:rPr>
          <w:sz w:val="26"/>
          <w:szCs w:val="26"/>
        </w:rPr>
        <w:t xml:space="preserve"> par pretkorupcijas jautājumiem;</w:t>
      </w:r>
    </w:p>
    <w:p w14:paraId="42D0F27F" w14:textId="77777777" w:rsidR="00126704" w:rsidRPr="0038447A" w:rsidRDefault="00DB1DC5" w:rsidP="00436B91">
      <w:pPr>
        <w:pStyle w:val="ListParagraph"/>
        <w:numPr>
          <w:ilvl w:val="0"/>
          <w:numId w:val="6"/>
        </w:numPr>
        <w:rPr>
          <w:sz w:val="26"/>
          <w:szCs w:val="26"/>
        </w:rPr>
      </w:pPr>
      <w:r w:rsidRPr="0038447A">
        <w:rPr>
          <w:sz w:val="26"/>
          <w:szCs w:val="26"/>
        </w:rPr>
        <w:t>p</w:t>
      </w:r>
      <w:r w:rsidR="00126704" w:rsidRPr="0038447A">
        <w:rPr>
          <w:sz w:val="26"/>
          <w:szCs w:val="26"/>
        </w:rPr>
        <w:t>retkorupcijas politikas plānošan</w:t>
      </w:r>
      <w:r w:rsidR="00964ADE">
        <w:rPr>
          <w:sz w:val="26"/>
          <w:szCs w:val="26"/>
        </w:rPr>
        <w:t>u</w:t>
      </w:r>
      <w:r w:rsidR="00126704" w:rsidRPr="0038447A">
        <w:rPr>
          <w:sz w:val="26"/>
          <w:szCs w:val="26"/>
        </w:rPr>
        <w:t xml:space="preserve"> un </w:t>
      </w:r>
      <w:r w:rsidR="00EB5BE1" w:rsidRPr="0038447A">
        <w:rPr>
          <w:sz w:val="26"/>
          <w:szCs w:val="26"/>
        </w:rPr>
        <w:t>starptautisk</w:t>
      </w:r>
      <w:r w:rsidR="00964ADE">
        <w:rPr>
          <w:sz w:val="26"/>
          <w:szCs w:val="26"/>
        </w:rPr>
        <w:t>o</w:t>
      </w:r>
      <w:r w:rsidR="00EB5BE1" w:rsidRPr="0038447A">
        <w:rPr>
          <w:sz w:val="26"/>
          <w:szCs w:val="26"/>
        </w:rPr>
        <w:t xml:space="preserve"> sadarbīb</w:t>
      </w:r>
      <w:r w:rsidR="00964ADE">
        <w:rPr>
          <w:sz w:val="26"/>
          <w:szCs w:val="26"/>
        </w:rPr>
        <w:t>u</w:t>
      </w:r>
      <w:r w:rsidR="00126704" w:rsidRPr="0038447A">
        <w:rPr>
          <w:sz w:val="26"/>
          <w:szCs w:val="26"/>
        </w:rPr>
        <w:t>.</w:t>
      </w:r>
    </w:p>
    <w:p w14:paraId="42D0F280" w14:textId="77777777" w:rsidR="00E12F71" w:rsidRPr="0038447A" w:rsidRDefault="00052E35" w:rsidP="00052E35">
      <w:pPr>
        <w:rPr>
          <w:sz w:val="26"/>
          <w:szCs w:val="26"/>
        </w:rPr>
      </w:pPr>
      <w:r w:rsidRPr="0038447A">
        <w:rPr>
          <w:sz w:val="26"/>
          <w:szCs w:val="26"/>
        </w:rPr>
        <w:t>Katram Biroja īstenotajam darbības virzienam sniegts</w:t>
      </w:r>
      <w:r w:rsidR="00436B91" w:rsidRPr="0038447A">
        <w:rPr>
          <w:sz w:val="26"/>
          <w:szCs w:val="26"/>
        </w:rPr>
        <w:t xml:space="preserve"> t</w:t>
      </w:r>
      <w:r w:rsidRPr="0038447A">
        <w:rPr>
          <w:sz w:val="26"/>
          <w:szCs w:val="26"/>
        </w:rPr>
        <w:t xml:space="preserve">ā mērķu un </w:t>
      </w:r>
      <w:r w:rsidR="00436B91" w:rsidRPr="0038447A">
        <w:rPr>
          <w:sz w:val="26"/>
          <w:szCs w:val="26"/>
        </w:rPr>
        <w:t xml:space="preserve">esošās </w:t>
      </w:r>
      <w:r w:rsidRPr="0038447A">
        <w:rPr>
          <w:sz w:val="26"/>
          <w:szCs w:val="26"/>
        </w:rPr>
        <w:t>situācijas apraksts, kā arī norādītas būtiskākās problēmas, kas saistītas ar esošo situāciju un institūcijas darbības spēju. Atbilstoši esošajai situācijai</w:t>
      </w:r>
      <w:r w:rsidR="00964ADE">
        <w:rPr>
          <w:sz w:val="26"/>
          <w:szCs w:val="26"/>
        </w:rPr>
        <w:t>,</w:t>
      </w:r>
      <w:r w:rsidRPr="0038447A">
        <w:rPr>
          <w:sz w:val="26"/>
          <w:szCs w:val="26"/>
        </w:rPr>
        <w:t xml:space="preserve"> sniegts </w:t>
      </w:r>
      <w:r w:rsidR="000C242E" w:rsidRPr="0038447A">
        <w:rPr>
          <w:sz w:val="26"/>
          <w:szCs w:val="26"/>
        </w:rPr>
        <w:t xml:space="preserve">plānoto </w:t>
      </w:r>
      <w:r w:rsidRPr="0038447A">
        <w:rPr>
          <w:sz w:val="26"/>
          <w:szCs w:val="26"/>
        </w:rPr>
        <w:t>risināmo uzdevumu un pasākumu uzskaitījums.</w:t>
      </w:r>
    </w:p>
    <w:p w14:paraId="42D0F281" w14:textId="77777777" w:rsidR="00FA69D0" w:rsidRDefault="00FA69D0" w:rsidP="00FA69D0">
      <w:pPr>
        <w:pStyle w:val="NoSpacing"/>
        <w:rPr>
          <w:sz w:val="26"/>
          <w:szCs w:val="26"/>
        </w:rPr>
      </w:pPr>
    </w:p>
    <w:p w14:paraId="42D0F282" w14:textId="77777777" w:rsidR="002C219C" w:rsidRPr="0038447A" w:rsidRDefault="002C219C" w:rsidP="002C219C">
      <w:pPr>
        <w:pStyle w:val="Heading2"/>
        <w:numPr>
          <w:ilvl w:val="0"/>
          <w:numId w:val="0"/>
        </w:numPr>
        <w:rPr>
          <w:sz w:val="26"/>
        </w:rPr>
      </w:pPr>
      <w:bookmarkStart w:id="8" w:name="_Toc500150883"/>
      <w:r w:rsidRPr="0038447A">
        <w:rPr>
          <w:sz w:val="26"/>
        </w:rPr>
        <w:t>1.</w:t>
      </w:r>
      <w:r w:rsidR="00460E56" w:rsidRPr="0038447A">
        <w:rPr>
          <w:sz w:val="26"/>
        </w:rPr>
        <w:t xml:space="preserve">4.1. </w:t>
      </w:r>
      <w:r w:rsidRPr="0038447A">
        <w:rPr>
          <w:sz w:val="26"/>
        </w:rPr>
        <w:t>Noziedzīgu nodarījumu atklāšana un izmeklēšana</w:t>
      </w:r>
      <w:bookmarkEnd w:id="8"/>
    </w:p>
    <w:p w14:paraId="42D0F283" w14:textId="77777777" w:rsidR="002C219C" w:rsidRPr="0038447A" w:rsidRDefault="006031C1" w:rsidP="002C219C">
      <w:pPr>
        <w:spacing w:after="200" w:line="276" w:lineRule="auto"/>
        <w:ind w:firstLine="0"/>
        <w:jc w:val="left"/>
        <w:rPr>
          <w:sz w:val="26"/>
          <w:szCs w:val="26"/>
        </w:rPr>
      </w:pPr>
      <w:r w:rsidRPr="0038447A">
        <w:rPr>
          <w:b/>
          <w:sz w:val="26"/>
          <w:szCs w:val="26"/>
          <w:u w:val="single"/>
        </w:rPr>
        <w:t>Esošās s</w:t>
      </w:r>
      <w:r w:rsidR="002C219C" w:rsidRPr="0038447A">
        <w:rPr>
          <w:b/>
          <w:sz w:val="26"/>
          <w:szCs w:val="26"/>
          <w:u w:val="single"/>
        </w:rPr>
        <w:t xml:space="preserve">ituācijas apraksts: </w:t>
      </w:r>
    </w:p>
    <w:p w14:paraId="42D0F284" w14:textId="77777777" w:rsidR="000139AA" w:rsidRPr="0038447A" w:rsidRDefault="000139AA" w:rsidP="00837AD4">
      <w:pPr>
        <w:ind w:firstLine="709"/>
        <w:rPr>
          <w:rFonts w:cs="Times New Roman"/>
          <w:sz w:val="26"/>
          <w:szCs w:val="26"/>
        </w:rPr>
      </w:pPr>
      <w:r w:rsidRPr="0038447A">
        <w:rPr>
          <w:rFonts w:cs="Times New Roman"/>
          <w:sz w:val="26"/>
          <w:szCs w:val="26"/>
        </w:rPr>
        <w:t>Korupcijas novēršanas un apkarošanas biroja likuma 1.panta pirmajā daļā noteikts, ka korupcija ir kukuļošana vai jebkura cita valsts amatpersonas rīcība, kas vērsta uz to, lai izmantojot dienesta stāvokli, savas pilnvaras vai pārsniedzot tās, iegūtu nepelnītu labumu sev vai citām personām.</w:t>
      </w:r>
    </w:p>
    <w:p w14:paraId="42D0F285" w14:textId="77777777" w:rsidR="00C65C55" w:rsidRPr="0038447A" w:rsidRDefault="00C65C55" w:rsidP="00837AD4">
      <w:pPr>
        <w:ind w:firstLine="709"/>
        <w:rPr>
          <w:rFonts w:cs="Times New Roman"/>
          <w:sz w:val="26"/>
          <w:szCs w:val="26"/>
        </w:rPr>
      </w:pPr>
      <w:r w:rsidRPr="0038447A">
        <w:rPr>
          <w:rFonts w:cs="Times New Roman"/>
          <w:sz w:val="26"/>
          <w:szCs w:val="26"/>
        </w:rPr>
        <w:t xml:space="preserve">Birojam ir piekritīga noziedzīgu nodarījumu, kas saistīti ar politisko organizāciju (partiju) un to apvienību finansēšanas noteikumu pārkāpumiem, un noziedzīgu nodarījumu valsts institūciju dienestā, kas ir saistīti ar korupciju, izmeklēšana. Realizējot šo funkciju, Biroja amatpersonas veic operatīvo darbību, </w:t>
      </w:r>
      <w:proofErr w:type="spellStart"/>
      <w:r w:rsidRPr="0038447A">
        <w:rPr>
          <w:rFonts w:cs="Times New Roman"/>
          <w:sz w:val="26"/>
          <w:szCs w:val="26"/>
        </w:rPr>
        <w:t>resoriskās</w:t>
      </w:r>
      <w:proofErr w:type="spellEnd"/>
      <w:r w:rsidRPr="0038447A">
        <w:rPr>
          <w:rFonts w:cs="Times New Roman"/>
          <w:sz w:val="26"/>
          <w:szCs w:val="26"/>
        </w:rPr>
        <w:t xml:space="preserve"> pārbaudes un </w:t>
      </w:r>
      <w:r w:rsidR="00837AD4">
        <w:rPr>
          <w:rFonts w:cs="Times New Roman"/>
          <w:sz w:val="26"/>
          <w:szCs w:val="26"/>
        </w:rPr>
        <w:t>kriminālprocesus, kā arī sniedz palīdzību ārvalstīm procesuālo darbību veikšanā</w:t>
      </w:r>
      <w:r w:rsidRPr="0038447A">
        <w:rPr>
          <w:rFonts w:cs="Times New Roman"/>
          <w:sz w:val="26"/>
          <w:szCs w:val="26"/>
        </w:rPr>
        <w:t xml:space="preserve">, ja tie ir saistīti ar korupcijas izmeklēšanu. </w:t>
      </w:r>
    </w:p>
    <w:p w14:paraId="42D0F286" w14:textId="77777777" w:rsidR="0015357B" w:rsidRDefault="00C65C55" w:rsidP="00837AD4">
      <w:pPr>
        <w:ind w:firstLine="709"/>
        <w:rPr>
          <w:rFonts w:cs="Times New Roman"/>
          <w:sz w:val="26"/>
          <w:szCs w:val="26"/>
        </w:rPr>
      </w:pPr>
      <w:r w:rsidRPr="0038447A">
        <w:rPr>
          <w:rFonts w:cs="Times New Roman"/>
          <w:sz w:val="26"/>
          <w:szCs w:val="26"/>
        </w:rPr>
        <w:t>Stratēģijas</w:t>
      </w:r>
      <w:r w:rsidR="00C155BF">
        <w:rPr>
          <w:rFonts w:cs="Times New Roman"/>
          <w:sz w:val="26"/>
          <w:szCs w:val="26"/>
        </w:rPr>
        <w:t xml:space="preserve"> darbības</w:t>
      </w:r>
      <w:r w:rsidRPr="0038447A">
        <w:rPr>
          <w:rFonts w:cs="Times New Roman"/>
          <w:sz w:val="26"/>
          <w:szCs w:val="26"/>
        </w:rPr>
        <w:t xml:space="preserve"> periodā Biroja mērķis ir nodrošināt mērķtiecīgu, efektīvu un kvalitatīvu operatīvo darbu un izmeklēšanu, īpašu uzsvaru liekot uz noziedzīgu nodarījumu atklāšanu un izmeklēšanu prioritārajās jomās, kurās identificēti augsti korupcijas riski. Viens no uzdevumiem ir pievērst uzmanību finanšu izmeklēšanai, lai atklātu un konfiscētu noziedzīgi iegūtos līdzekļus </w:t>
      </w:r>
      <w:r w:rsidR="00C155BF">
        <w:rPr>
          <w:rFonts w:cs="Times New Roman"/>
          <w:sz w:val="26"/>
          <w:szCs w:val="26"/>
        </w:rPr>
        <w:t>kā</w:t>
      </w:r>
      <w:r w:rsidRPr="0038447A">
        <w:rPr>
          <w:rFonts w:cs="Times New Roman"/>
          <w:sz w:val="26"/>
          <w:szCs w:val="26"/>
        </w:rPr>
        <w:t xml:space="preserve"> Latvijā, </w:t>
      </w:r>
      <w:r w:rsidR="00C155BF">
        <w:rPr>
          <w:rFonts w:cs="Times New Roman"/>
          <w:sz w:val="26"/>
          <w:szCs w:val="26"/>
        </w:rPr>
        <w:t>tā arī</w:t>
      </w:r>
      <w:r w:rsidRPr="0038447A">
        <w:rPr>
          <w:rFonts w:cs="Times New Roman"/>
          <w:sz w:val="26"/>
          <w:szCs w:val="26"/>
        </w:rPr>
        <w:t xml:space="preserve"> ārvalstīs. Ņemot vērā, ka </w:t>
      </w:r>
      <w:r w:rsidR="00CA400D" w:rsidRPr="0038447A">
        <w:rPr>
          <w:rFonts w:cs="Times New Roman"/>
          <w:sz w:val="26"/>
          <w:szCs w:val="26"/>
        </w:rPr>
        <w:t>koruptīvām darbībām ir materiāls raksturs, pastiprināta vērība ir jāvelta</w:t>
      </w:r>
      <w:r w:rsidRPr="0038447A">
        <w:rPr>
          <w:rFonts w:cs="Times New Roman"/>
          <w:sz w:val="26"/>
          <w:szCs w:val="26"/>
        </w:rPr>
        <w:t xml:space="preserve"> mantisko jautājumu risinājumam kriminālprocesā, </w:t>
      </w:r>
      <w:r w:rsidRPr="003E1DCD">
        <w:rPr>
          <w:rFonts w:cs="Times New Roman"/>
          <w:sz w:val="26"/>
          <w:szCs w:val="26"/>
        </w:rPr>
        <w:t>lai prettiesiski iegūtos līdzekļus</w:t>
      </w:r>
      <w:r w:rsidR="003E1DCD">
        <w:rPr>
          <w:rFonts w:cs="Times New Roman"/>
          <w:sz w:val="26"/>
          <w:szCs w:val="26"/>
        </w:rPr>
        <w:t xml:space="preserve"> atsavinātu</w:t>
      </w:r>
      <w:r w:rsidRPr="003E1DCD">
        <w:rPr>
          <w:rFonts w:cs="Times New Roman"/>
          <w:sz w:val="26"/>
          <w:szCs w:val="26"/>
        </w:rPr>
        <w:t xml:space="preserve"> un tādējādi mazinātu personu motivāciju iesaistīties koruptīvās darbībās.</w:t>
      </w:r>
      <w:r w:rsidRPr="0038447A">
        <w:rPr>
          <w:rFonts w:cs="Times New Roman"/>
          <w:sz w:val="26"/>
          <w:szCs w:val="26"/>
        </w:rPr>
        <w:t xml:space="preserve"> Biroja efektīv</w:t>
      </w:r>
      <w:r w:rsidR="00472162">
        <w:rPr>
          <w:rFonts w:cs="Times New Roman"/>
          <w:sz w:val="26"/>
          <w:szCs w:val="26"/>
        </w:rPr>
        <w:t xml:space="preserve">am </w:t>
      </w:r>
      <w:r w:rsidRPr="0038447A">
        <w:rPr>
          <w:rFonts w:cs="Times New Roman"/>
          <w:sz w:val="26"/>
          <w:szCs w:val="26"/>
        </w:rPr>
        <w:t>darb</w:t>
      </w:r>
      <w:r w:rsidR="00472162">
        <w:rPr>
          <w:rFonts w:cs="Times New Roman"/>
          <w:sz w:val="26"/>
          <w:szCs w:val="26"/>
        </w:rPr>
        <w:t xml:space="preserve">am </w:t>
      </w:r>
      <w:r w:rsidRPr="0038447A">
        <w:rPr>
          <w:rFonts w:cs="Times New Roman"/>
          <w:sz w:val="26"/>
          <w:szCs w:val="26"/>
        </w:rPr>
        <w:t xml:space="preserve">noziedzīgu nodarījumu izmeklēšanā, noziedzīgi iegūtu līdzekļu atgūšanā un soda neizbēgamības </w:t>
      </w:r>
      <w:r w:rsidR="00E76743">
        <w:rPr>
          <w:rFonts w:cs="Times New Roman"/>
          <w:sz w:val="26"/>
          <w:szCs w:val="26"/>
        </w:rPr>
        <w:t>nodrošināšanā</w:t>
      </w:r>
      <w:r w:rsidRPr="0038447A">
        <w:rPr>
          <w:rFonts w:cs="Times New Roman"/>
          <w:sz w:val="26"/>
          <w:szCs w:val="26"/>
        </w:rPr>
        <w:t xml:space="preserve"> ir būtiska preventīv</w:t>
      </w:r>
      <w:r w:rsidR="00472162">
        <w:rPr>
          <w:rFonts w:cs="Times New Roman"/>
          <w:sz w:val="26"/>
          <w:szCs w:val="26"/>
        </w:rPr>
        <w:t>a</w:t>
      </w:r>
      <w:r w:rsidR="00E76743">
        <w:rPr>
          <w:rFonts w:cs="Times New Roman"/>
          <w:sz w:val="26"/>
          <w:szCs w:val="26"/>
        </w:rPr>
        <w:t xml:space="preserve"> loma, atturot </w:t>
      </w:r>
      <w:r w:rsidRPr="0038447A">
        <w:rPr>
          <w:rFonts w:cs="Times New Roman"/>
          <w:sz w:val="26"/>
          <w:szCs w:val="26"/>
        </w:rPr>
        <w:t xml:space="preserve">citus sabiedrības </w:t>
      </w:r>
      <w:r w:rsidR="0015357B">
        <w:rPr>
          <w:rFonts w:cs="Times New Roman"/>
          <w:sz w:val="26"/>
          <w:szCs w:val="26"/>
        </w:rPr>
        <w:t>locekļus no prettiesiskām darbībām.</w:t>
      </w:r>
    </w:p>
    <w:p w14:paraId="42D0F287" w14:textId="77777777" w:rsidR="007C68B5" w:rsidRPr="0038447A" w:rsidRDefault="007C68B5" w:rsidP="007C68B5">
      <w:pPr>
        <w:ind w:firstLine="709"/>
        <w:rPr>
          <w:rFonts w:cs="Times New Roman"/>
          <w:sz w:val="26"/>
          <w:szCs w:val="26"/>
        </w:rPr>
      </w:pPr>
      <w:r w:rsidRPr="0038447A">
        <w:rPr>
          <w:rFonts w:cs="Times New Roman"/>
          <w:sz w:val="26"/>
          <w:szCs w:val="26"/>
        </w:rPr>
        <w:t xml:space="preserve">Ņemot vērā, ka korupcija ir cieši saistīta ar valsts amatpersonu prettiesisku iedzīvošanos un mantisko stāvokli, </w:t>
      </w:r>
      <w:r w:rsidR="00B406C7">
        <w:rPr>
          <w:rFonts w:cs="Times New Roman"/>
          <w:sz w:val="26"/>
          <w:szCs w:val="26"/>
        </w:rPr>
        <w:t>nozīmīgs</w:t>
      </w:r>
      <w:r w:rsidRPr="0038447A">
        <w:rPr>
          <w:rFonts w:cs="Times New Roman"/>
          <w:sz w:val="26"/>
          <w:szCs w:val="26"/>
        </w:rPr>
        <w:t xml:space="preserve"> ir jautājums par Krimināllikuma 219.panta otrajā daļā paredzētās sankcijas, kas attiecas uz nepatiesu ziņu norādīšanu valsts amatpersonas deklarācijā lielā apmērā, palielināšanu. Pašreizējais regulējums nepieļauj šī noziedzīga nodarījuma pierādīšanā izmantot speciāl</w:t>
      </w:r>
      <w:r>
        <w:rPr>
          <w:rFonts w:cs="Times New Roman"/>
          <w:sz w:val="26"/>
          <w:szCs w:val="26"/>
        </w:rPr>
        <w:t>ās</w:t>
      </w:r>
      <w:r w:rsidRPr="0038447A">
        <w:rPr>
          <w:rFonts w:cs="Times New Roman"/>
          <w:sz w:val="26"/>
          <w:szCs w:val="26"/>
        </w:rPr>
        <w:t xml:space="preserve"> izmeklēšanas darbīb</w:t>
      </w:r>
      <w:r w:rsidR="00C155BF">
        <w:rPr>
          <w:rFonts w:cs="Times New Roman"/>
          <w:sz w:val="26"/>
          <w:szCs w:val="26"/>
        </w:rPr>
        <w:t>a</w:t>
      </w:r>
      <w:r>
        <w:rPr>
          <w:rFonts w:cs="Times New Roman"/>
          <w:sz w:val="26"/>
          <w:szCs w:val="26"/>
        </w:rPr>
        <w:t>s</w:t>
      </w:r>
      <w:r w:rsidRPr="0038447A">
        <w:rPr>
          <w:rFonts w:cs="Times New Roman"/>
          <w:sz w:val="26"/>
          <w:szCs w:val="26"/>
        </w:rPr>
        <w:t xml:space="preserve"> un sevišķajā veidā </w:t>
      </w:r>
      <w:r w:rsidR="00F37AC9" w:rsidRPr="0038447A">
        <w:rPr>
          <w:rFonts w:cs="Times New Roman"/>
          <w:sz w:val="26"/>
          <w:szCs w:val="26"/>
        </w:rPr>
        <w:t>veicam</w:t>
      </w:r>
      <w:r w:rsidR="00F37AC9">
        <w:rPr>
          <w:rFonts w:cs="Times New Roman"/>
          <w:sz w:val="26"/>
          <w:szCs w:val="26"/>
        </w:rPr>
        <w:t>ajos</w:t>
      </w:r>
      <w:r w:rsidRPr="0038447A">
        <w:rPr>
          <w:rFonts w:cs="Times New Roman"/>
          <w:sz w:val="26"/>
          <w:szCs w:val="26"/>
        </w:rPr>
        <w:t xml:space="preserve"> operatīvās darbības pasākumos iegūtos </w:t>
      </w:r>
      <w:r w:rsidR="00B406C7">
        <w:rPr>
          <w:rFonts w:cs="Times New Roman"/>
          <w:sz w:val="26"/>
          <w:szCs w:val="26"/>
        </w:rPr>
        <w:t>pierādījumus</w:t>
      </w:r>
      <w:r w:rsidRPr="0038447A">
        <w:rPr>
          <w:rFonts w:cs="Times New Roman"/>
          <w:sz w:val="26"/>
          <w:szCs w:val="26"/>
        </w:rPr>
        <w:t>, kas praksē būtiski apgrūtina šī noziedzīg</w:t>
      </w:r>
      <w:r w:rsidR="00C155BF">
        <w:rPr>
          <w:rFonts w:cs="Times New Roman"/>
          <w:sz w:val="26"/>
          <w:szCs w:val="26"/>
        </w:rPr>
        <w:t>ā</w:t>
      </w:r>
      <w:r w:rsidRPr="0038447A">
        <w:rPr>
          <w:rFonts w:cs="Times New Roman"/>
          <w:sz w:val="26"/>
          <w:szCs w:val="26"/>
        </w:rPr>
        <w:t xml:space="preserve"> nodarījuma sastāva – jo īpaši subjektīvās puses – pierādīšanu. Ņemot vērā, ka apzināti nepatiesu ziņu norādīšana valsts amatperson</w:t>
      </w:r>
      <w:r w:rsidR="00C155BF">
        <w:rPr>
          <w:rFonts w:cs="Times New Roman"/>
          <w:sz w:val="26"/>
          <w:szCs w:val="26"/>
        </w:rPr>
        <w:t>as</w:t>
      </w:r>
      <w:r w:rsidRPr="0038447A">
        <w:rPr>
          <w:rFonts w:cs="Times New Roman"/>
          <w:sz w:val="26"/>
          <w:szCs w:val="26"/>
        </w:rPr>
        <w:t xml:space="preserve"> deklarācijā nereti ir cēloniskā sakar</w:t>
      </w:r>
      <w:r w:rsidR="00C155BF">
        <w:rPr>
          <w:rFonts w:cs="Times New Roman"/>
          <w:sz w:val="26"/>
          <w:szCs w:val="26"/>
        </w:rPr>
        <w:t>ībā</w:t>
      </w:r>
      <w:r w:rsidRPr="0038447A">
        <w:rPr>
          <w:rFonts w:cs="Times New Roman"/>
          <w:sz w:val="26"/>
          <w:szCs w:val="26"/>
        </w:rPr>
        <w:t xml:space="preserve"> ar Biroja izmeklētajiem koruptīviem noziedzīgiem nodarījumiem, </w:t>
      </w:r>
      <w:r w:rsidR="00F37AC9" w:rsidRPr="0038447A">
        <w:rPr>
          <w:rFonts w:cs="Times New Roman"/>
          <w:sz w:val="26"/>
          <w:szCs w:val="26"/>
        </w:rPr>
        <w:t>jārosina palielināt</w:t>
      </w:r>
      <w:r w:rsidRPr="0038447A">
        <w:rPr>
          <w:rFonts w:cs="Times New Roman"/>
          <w:sz w:val="26"/>
          <w:szCs w:val="26"/>
        </w:rPr>
        <w:t xml:space="preserve"> Krimināllikuma 219.panta </w:t>
      </w:r>
      <w:r w:rsidRPr="0038447A">
        <w:rPr>
          <w:rFonts w:cs="Times New Roman"/>
          <w:sz w:val="26"/>
          <w:szCs w:val="26"/>
        </w:rPr>
        <w:lastRenderedPageBreak/>
        <w:t>otrajā daļā paredzētā sankcija, lai šo noziedzīgo darbību turpmāk varētu klasificēt kā mazāk smagu noziegumu.</w:t>
      </w:r>
    </w:p>
    <w:p w14:paraId="42D0F288" w14:textId="77777777" w:rsidR="0015357B" w:rsidRDefault="00C65C55" w:rsidP="007C68B5">
      <w:pPr>
        <w:ind w:firstLine="709"/>
        <w:rPr>
          <w:rFonts w:cs="Times New Roman"/>
          <w:sz w:val="26"/>
          <w:szCs w:val="26"/>
        </w:rPr>
      </w:pPr>
      <w:r w:rsidRPr="0038447A">
        <w:rPr>
          <w:rFonts w:cs="Times New Roman"/>
          <w:sz w:val="26"/>
          <w:szCs w:val="26"/>
        </w:rPr>
        <w:t xml:space="preserve">Aizvien lielāka nozīme praktiskajā darbā </w:t>
      </w:r>
      <w:r w:rsidR="00472162">
        <w:rPr>
          <w:rFonts w:cs="Times New Roman"/>
          <w:sz w:val="26"/>
          <w:szCs w:val="26"/>
        </w:rPr>
        <w:t>ir</w:t>
      </w:r>
      <w:r w:rsidR="00472162" w:rsidRPr="0038447A">
        <w:rPr>
          <w:rFonts w:cs="Times New Roman"/>
          <w:sz w:val="26"/>
          <w:szCs w:val="26"/>
        </w:rPr>
        <w:t xml:space="preserve"> </w:t>
      </w:r>
      <w:r w:rsidRPr="0038447A">
        <w:rPr>
          <w:rFonts w:cs="Times New Roman"/>
          <w:sz w:val="26"/>
          <w:szCs w:val="26"/>
        </w:rPr>
        <w:t>aktīvai, uz savstarpēju uzticību balstītai</w:t>
      </w:r>
      <w:r w:rsidR="00837AD4">
        <w:rPr>
          <w:rFonts w:cs="Times New Roman"/>
          <w:sz w:val="26"/>
          <w:szCs w:val="26"/>
        </w:rPr>
        <w:t xml:space="preserve"> sadarbībai </w:t>
      </w:r>
      <w:r w:rsidR="00E12914">
        <w:rPr>
          <w:rFonts w:cs="Times New Roman"/>
          <w:sz w:val="26"/>
          <w:szCs w:val="26"/>
        </w:rPr>
        <w:t xml:space="preserve">ne tikai </w:t>
      </w:r>
      <w:r w:rsidR="0015357B">
        <w:rPr>
          <w:rFonts w:cs="Times New Roman"/>
          <w:sz w:val="26"/>
          <w:szCs w:val="26"/>
        </w:rPr>
        <w:t>starp</w:t>
      </w:r>
      <w:r w:rsidR="00E12914">
        <w:rPr>
          <w:rFonts w:cs="Times New Roman"/>
          <w:sz w:val="26"/>
          <w:szCs w:val="26"/>
        </w:rPr>
        <w:t xml:space="preserve"> tiesībsargājošām iestādēm, bet </w:t>
      </w:r>
      <w:r w:rsidR="0015357B">
        <w:rPr>
          <w:rFonts w:cs="Times New Roman"/>
          <w:sz w:val="26"/>
          <w:szCs w:val="26"/>
        </w:rPr>
        <w:t xml:space="preserve">arī </w:t>
      </w:r>
      <w:r w:rsidR="00C11072">
        <w:rPr>
          <w:rFonts w:cs="Times New Roman"/>
          <w:sz w:val="26"/>
          <w:szCs w:val="26"/>
        </w:rPr>
        <w:t xml:space="preserve">starp </w:t>
      </w:r>
      <w:r w:rsidR="00E12914">
        <w:rPr>
          <w:rFonts w:cs="Times New Roman"/>
          <w:sz w:val="26"/>
          <w:szCs w:val="26"/>
        </w:rPr>
        <w:t>visām publiskas</w:t>
      </w:r>
      <w:r w:rsidR="0015357B" w:rsidRPr="0015357B">
        <w:rPr>
          <w:rFonts w:cs="Times New Roman"/>
          <w:sz w:val="26"/>
          <w:szCs w:val="26"/>
        </w:rPr>
        <w:t xml:space="preserve"> </w:t>
      </w:r>
      <w:r w:rsidR="0015357B">
        <w:rPr>
          <w:rFonts w:cs="Times New Roman"/>
          <w:sz w:val="26"/>
          <w:szCs w:val="26"/>
        </w:rPr>
        <w:t>personas institūcijām.</w:t>
      </w:r>
    </w:p>
    <w:p w14:paraId="42D0F289" w14:textId="77777777" w:rsidR="00AC1FF0" w:rsidRDefault="00C11072" w:rsidP="00AC1FF0">
      <w:pPr>
        <w:ind w:firstLine="709"/>
        <w:rPr>
          <w:rFonts w:cs="Times New Roman"/>
          <w:sz w:val="26"/>
          <w:szCs w:val="26"/>
        </w:rPr>
      </w:pPr>
      <w:r>
        <w:rPr>
          <w:rFonts w:cs="Times New Roman"/>
          <w:sz w:val="26"/>
          <w:szCs w:val="26"/>
        </w:rPr>
        <w:t>Praksē</w:t>
      </w:r>
      <w:r w:rsidR="00AC1FF0" w:rsidRPr="0038447A">
        <w:rPr>
          <w:rFonts w:cs="Times New Roman"/>
          <w:sz w:val="26"/>
          <w:szCs w:val="26"/>
        </w:rPr>
        <w:t xml:space="preserve"> ir konstatēta problemātika noteikt precīzu kaitējumu, kas radies </w:t>
      </w:r>
      <w:r w:rsidRPr="0038447A">
        <w:rPr>
          <w:rFonts w:cs="Times New Roman"/>
          <w:sz w:val="26"/>
          <w:szCs w:val="26"/>
        </w:rPr>
        <w:t xml:space="preserve">nepamatota sadārdzinājuma rezultātā </w:t>
      </w:r>
      <w:r w:rsidR="00AC1FF0" w:rsidRPr="0038447A">
        <w:rPr>
          <w:rFonts w:cs="Times New Roman"/>
          <w:sz w:val="26"/>
          <w:szCs w:val="26"/>
        </w:rPr>
        <w:t xml:space="preserve">negodprātīgās publisko iepirkumu procedūrās. </w:t>
      </w:r>
      <w:r>
        <w:rPr>
          <w:rFonts w:cs="Times New Roman"/>
          <w:sz w:val="26"/>
          <w:szCs w:val="26"/>
        </w:rPr>
        <w:t>Birojs</w:t>
      </w:r>
      <w:r w:rsidR="00AC1FF0" w:rsidRPr="0038447A">
        <w:rPr>
          <w:rFonts w:cs="Times New Roman"/>
          <w:sz w:val="26"/>
          <w:szCs w:val="26"/>
        </w:rPr>
        <w:t xml:space="preserve"> no dažādām valsts un pašvaldības institūcijām ir saņēmis atbildi, ka negodīgos un iepriekš sarunātos iepirkumos kaitējums neesot saskatāms, jo līgumā pielīgtais esot atbilstoši izpildīts. Šāda attieksme, nepamatotu sadārdzinājumu neuzskatot par radīto kaitējumu, liecina par izpratnes trūkumu un nevērību pret valsts un pašvaldības līdzekļu efektīvu izlietojumu, kā arī apgrūtina taisnīgu krimināltiesisko attiecību noregulēšanu. Biroja ieskatā, ir nepieciešams strādāt pie konkrētas metodikas zaudējumu konstatēšanā un noteikšanā šādos gadījumos.</w:t>
      </w:r>
    </w:p>
    <w:p w14:paraId="42D0F28A" w14:textId="77777777" w:rsidR="00E12914" w:rsidRDefault="00E12914" w:rsidP="00E12914">
      <w:pPr>
        <w:ind w:firstLine="709"/>
        <w:rPr>
          <w:rFonts w:cs="Times New Roman"/>
          <w:sz w:val="26"/>
          <w:szCs w:val="26"/>
        </w:rPr>
      </w:pPr>
      <w:r>
        <w:rPr>
          <w:rFonts w:cs="Times New Roman"/>
          <w:sz w:val="26"/>
          <w:szCs w:val="26"/>
        </w:rPr>
        <w:t xml:space="preserve">Tāpat </w:t>
      </w:r>
      <w:r w:rsidRPr="0038447A">
        <w:rPr>
          <w:rFonts w:cs="Times New Roman"/>
          <w:sz w:val="26"/>
          <w:szCs w:val="26"/>
        </w:rPr>
        <w:t>nepieciešams stiprināt vienotu un saskaņotu izpratni ar prokuratūru par nepieciešamo pierādīšanas standartu korupcijas lietās. Sadarbībā ar prokuratūru jātiecas uz sinerģiju, kam ir jāsekmē rezultāti korupcijas apkarošanā.</w:t>
      </w:r>
    </w:p>
    <w:p w14:paraId="42D0F28B" w14:textId="77777777" w:rsidR="0094056C" w:rsidRDefault="007C68B5" w:rsidP="0094056C">
      <w:pPr>
        <w:ind w:firstLine="709"/>
        <w:rPr>
          <w:rFonts w:cs="Times New Roman"/>
          <w:sz w:val="26"/>
          <w:szCs w:val="26"/>
        </w:rPr>
      </w:pPr>
      <w:r>
        <w:rPr>
          <w:rFonts w:cs="Times New Roman"/>
          <w:sz w:val="26"/>
          <w:szCs w:val="26"/>
        </w:rPr>
        <w:t>Uzņēmējdarbības vides uzlabošanai ir būtiski veicināt</w:t>
      </w:r>
      <w:r w:rsidR="00CF63A2">
        <w:rPr>
          <w:rFonts w:cs="Times New Roman"/>
          <w:sz w:val="26"/>
          <w:szCs w:val="26"/>
        </w:rPr>
        <w:t xml:space="preserve"> komersantu izpratni par sekām, kas var iestāties gadījumos</w:t>
      </w:r>
      <w:r w:rsidR="0094056C" w:rsidRPr="0038447A">
        <w:rPr>
          <w:rFonts w:cs="Times New Roman"/>
          <w:sz w:val="26"/>
          <w:szCs w:val="26"/>
        </w:rPr>
        <w:t xml:space="preserve">, kad noziedzīgs nodarījums izdarīts juridiskas personas labā, interesēs vai tās </w:t>
      </w:r>
      <w:r w:rsidR="0094056C">
        <w:rPr>
          <w:rFonts w:cs="Times New Roman"/>
          <w:sz w:val="26"/>
          <w:szCs w:val="26"/>
        </w:rPr>
        <w:t>nepietiekamas</w:t>
      </w:r>
      <w:r w:rsidR="0094056C" w:rsidRPr="0038447A">
        <w:rPr>
          <w:rFonts w:cs="Times New Roman"/>
          <w:sz w:val="26"/>
          <w:szCs w:val="26"/>
        </w:rPr>
        <w:t xml:space="preserve"> pārraudzības vai kontroles rezultātā</w:t>
      </w:r>
      <w:r w:rsidR="00CF63A2">
        <w:rPr>
          <w:rFonts w:cs="Times New Roman"/>
          <w:sz w:val="26"/>
          <w:szCs w:val="26"/>
        </w:rPr>
        <w:t>.</w:t>
      </w:r>
      <w:r w:rsidR="00554A06">
        <w:rPr>
          <w:rFonts w:cs="Times New Roman"/>
          <w:sz w:val="26"/>
          <w:szCs w:val="26"/>
        </w:rPr>
        <w:t xml:space="preserve"> Šajā kontekstā būtiska ir</w:t>
      </w:r>
      <w:r w:rsidR="0094056C">
        <w:rPr>
          <w:rFonts w:cs="Times New Roman"/>
          <w:sz w:val="26"/>
          <w:szCs w:val="26"/>
        </w:rPr>
        <w:t xml:space="preserve"> </w:t>
      </w:r>
      <w:r w:rsidR="00554A06">
        <w:rPr>
          <w:rFonts w:cs="Times New Roman"/>
          <w:sz w:val="26"/>
          <w:szCs w:val="26"/>
        </w:rPr>
        <w:t>pārrobežu sadarbība</w:t>
      </w:r>
      <w:r w:rsidR="0094056C" w:rsidRPr="0038447A">
        <w:rPr>
          <w:rFonts w:cs="Times New Roman"/>
          <w:sz w:val="26"/>
          <w:szCs w:val="26"/>
        </w:rPr>
        <w:t xml:space="preserve"> un izmeklēšanas darbā pieejamo starpt</w:t>
      </w:r>
      <w:r w:rsidR="00554A06">
        <w:rPr>
          <w:rFonts w:cs="Times New Roman"/>
          <w:sz w:val="26"/>
          <w:szCs w:val="26"/>
        </w:rPr>
        <w:t>autisko instrumentu izmantošana</w:t>
      </w:r>
      <w:r w:rsidR="0094056C" w:rsidRPr="0038447A">
        <w:rPr>
          <w:rFonts w:cs="Times New Roman"/>
          <w:sz w:val="26"/>
          <w:szCs w:val="26"/>
        </w:rPr>
        <w:t>.</w:t>
      </w:r>
    </w:p>
    <w:p w14:paraId="42D0F28C" w14:textId="77777777" w:rsidR="00CF63A2" w:rsidRDefault="0094056C" w:rsidP="00CF63A2">
      <w:pPr>
        <w:ind w:firstLine="709"/>
        <w:rPr>
          <w:rFonts w:cs="Times New Roman"/>
          <w:sz w:val="26"/>
          <w:szCs w:val="26"/>
        </w:rPr>
      </w:pPr>
      <w:r>
        <w:rPr>
          <w:rFonts w:cs="Times New Roman"/>
          <w:sz w:val="26"/>
          <w:szCs w:val="26"/>
        </w:rPr>
        <w:t>N</w:t>
      </w:r>
      <w:r w:rsidR="00C65C55" w:rsidRPr="0038447A">
        <w:rPr>
          <w:rFonts w:cs="Times New Roman"/>
          <w:sz w:val="26"/>
          <w:szCs w:val="26"/>
        </w:rPr>
        <w:t>epieciešams līdzdarboties diskusijā par tieša nodoma tvērumu kukuļošanas lietās, kad kukulis tiek nodots, izmantojot starpnieku. Tas ir būtiski, jo kukuļdevējs praksē ne vienmēr tiek nepārprotami informēts par to, ka starpnieks izmantos saņemto labumu, lai uzpirktu valsts amatpersonu par kādas darbības izdarīšanu vai bezdarbības pieļaušanu kukuļdevēja interesēs. Visbiežāk kukuļdevējs pieļauj noziedzīgas darbības iespēju, taču apzināti nevēlas iegūt vairāk informācijas par starpnieka veiktajām darbībām. Pašreiz tieša nodoma iztulkošana praksē, izmeklējot kukuļošanas lietas, ir sašaurināta un tā neatbilst</w:t>
      </w:r>
      <w:r w:rsidR="00D82C77">
        <w:rPr>
          <w:rFonts w:cs="Times New Roman"/>
          <w:sz w:val="26"/>
          <w:szCs w:val="26"/>
        </w:rPr>
        <w:t xml:space="preserve"> </w:t>
      </w:r>
      <w:r w:rsidR="00D82C77" w:rsidRPr="00D82C77">
        <w:rPr>
          <w:rFonts w:cs="Times New Roman"/>
          <w:sz w:val="26"/>
          <w:szCs w:val="26"/>
        </w:rPr>
        <w:t xml:space="preserve">Ekonomiskās sadarbības un attīstības organizācijas </w:t>
      </w:r>
      <w:r w:rsidR="00D82C77">
        <w:rPr>
          <w:rFonts w:cs="Times New Roman"/>
          <w:sz w:val="26"/>
          <w:szCs w:val="26"/>
        </w:rPr>
        <w:t xml:space="preserve">(turpmāk – </w:t>
      </w:r>
      <w:r w:rsidR="00C65C55" w:rsidRPr="0038447A">
        <w:rPr>
          <w:rFonts w:cs="Times New Roman"/>
          <w:sz w:val="26"/>
          <w:szCs w:val="26"/>
        </w:rPr>
        <w:t>OECD</w:t>
      </w:r>
      <w:r w:rsidR="00D82C77">
        <w:rPr>
          <w:rFonts w:cs="Times New Roman"/>
          <w:sz w:val="26"/>
          <w:szCs w:val="26"/>
        </w:rPr>
        <w:t>)</w:t>
      </w:r>
      <w:r w:rsidR="00C65C55" w:rsidRPr="0038447A">
        <w:rPr>
          <w:rFonts w:cs="Times New Roman"/>
          <w:sz w:val="26"/>
          <w:szCs w:val="26"/>
        </w:rPr>
        <w:t xml:space="preserve"> Pretkorupcijas konvencijas noteiktajam subjektīvās puses standartam, tādēļ ir</w:t>
      </w:r>
      <w:r w:rsidR="00CF63A2" w:rsidRPr="00CF63A2">
        <w:rPr>
          <w:rFonts w:cs="Times New Roman"/>
          <w:sz w:val="26"/>
          <w:szCs w:val="26"/>
        </w:rPr>
        <w:t xml:space="preserve"> </w:t>
      </w:r>
      <w:r w:rsidR="00CF63A2" w:rsidRPr="0038447A">
        <w:rPr>
          <w:rFonts w:cs="Times New Roman"/>
          <w:sz w:val="26"/>
          <w:szCs w:val="26"/>
        </w:rPr>
        <w:t xml:space="preserve">nepieciešams </w:t>
      </w:r>
      <w:r w:rsidR="00B406C7">
        <w:rPr>
          <w:rFonts w:cs="Times New Roman"/>
          <w:sz w:val="26"/>
          <w:szCs w:val="26"/>
        </w:rPr>
        <w:t>nodrošināt</w:t>
      </w:r>
      <w:r w:rsidR="00CF63A2" w:rsidRPr="0038447A">
        <w:rPr>
          <w:rFonts w:cs="Times New Roman"/>
          <w:sz w:val="26"/>
          <w:szCs w:val="26"/>
        </w:rPr>
        <w:t xml:space="preserve"> atbilstību šai konvencijai</w:t>
      </w:r>
      <w:r w:rsidR="00CF63A2">
        <w:rPr>
          <w:rFonts w:cs="Times New Roman"/>
          <w:sz w:val="26"/>
          <w:szCs w:val="26"/>
        </w:rPr>
        <w:t>.</w:t>
      </w:r>
    </w:p>
    <w:p w14:paraId="42D0F28D" w14:textId="77777777" w:rsidR="00554A06" w:rsidRPr="00CF63A2" w:rsidRDefault="00554A06" w:rsidP="00CF63A2">
      <w:pPr>
        <w:pStyle w:val="NoSpacing"/>
      </w:pPr>
    </w:p>
    <w:p w14:paraId="42D0F28E" w14:textId="77777777" w:rsidR="002C219C" w:rsidRPr="0038447A" w:rsidRDefault="002C219C" w:rsidP="002C219C">
      <w:pPr>
        <w:spacing w:after="200" w:line="276" w:lineRule="auto"/>
        <w:ind w:firstLine="0"/>
        <w:jc w:val="left"/>
        <w:rPr>
          <w:b/>
          <w:sz w:val="26"/>
          <w:szCs w:val="26"/>
          <w:u w:val="single"/>
        </w:rPr>
      </w:pPr>
      <w:r w:rsidRPr="0038447A">
        <w:rPr>
          <w:b/>
          <w:sz w:val="26"/>
          <w:szCs w:val="26"/>
          <w:u w:val="single"/>
        </w:rPr>
        <w:t xml:space="preserve">Darbības virziena mērķis: </w:t>
      </w:r>
    </w:p>
    <w:p w14:paraId="42D0F28F" w14:textId="77777777" w:rsidR="002C219C" w:rsidRPr="0038447A" w:rsidRDefault="002C219C" w:rsidP="002C219C">
      <w:pPr>
        <w:ind w:firstLine="0"/>
        <w:rPr>
          <w:rFonts w:eastAsia="Times New Roman" w:cs="Times New Roman"/>
          <w:sz w:val="26"/>
          <w:szCs w:val="26"/>
          <w:lang w:eastAsia="lv-LV"/>
        </w:rPr>
      </w:pPr>
      <w:r w:rsidRPr="0038447A">
        <w:rPr>
          <w:rFonts w:eastAsia="Times New Roman" w:cs="Times New Roman"/>
          <w:sz w:val="26"/>
          <w:szCs w:val="26"/>
          <w:lang w:eastAsia="lv-LV"/>
        </w:rPr>
        <w:t>Noziedzīgu nodarījumu atklāšana un izmeklēšana</w:t>
      </w:r>
      <w:r w:rsidR="00BF451B">
        <w:rPr>
          <w:rFonts w:eastAsia="Times New Roman" w:cs="Times New Roman"/>
          <w:sz w:val="26"/>
          <w:szCs w:val="26"/>
          <w:lang w:eastAsia="lv-LV"/>
        </w:rPr>
        <w:t>.</w:t>
      </w:r>
    </w:p>
    <w:p w14:paraId="42D0F290" w14:textId="77777777" w:rsidR="00DE6583" w:rsidRPr="0038447A" w:rsidRDefault="00DE6583" w:rsidP="00DE6583">
      <w:pPr>
        <w:pStyle w:val="NoSpacing"/>
        <w:rPr>
          <w:sz w:val="26"/>
          <w:szCs w:val="26"/>
        </w:rPr>
      </w:pPr>
    </w:p>
    <w:p w14:paraId="42D0F291" w14:textId="77777777" w:rsidR="001517B5" w:rsidRDefault="001517B5" w:rsidP="001517B5">
      <w:pPr>
        <w:pStyle w:val="NoSpacing"/>
      </w:pPr>
      <w:r>
        <w:br w:type="page"/>
      </w:r>
    </w:p>
    <w:p w14:paraId="42D0F292" w14:textId="77777777" w:rsidR="002C219C" w:rsidRPr="0038447A" w:rsidRDefault="002C219C" w:rsidP="002C219C">
      <w:pPr>
        <w:spacing w:after="200" w:line="276" w:lineRule="auto"/>
        <w:ind w:firstLine="0"/>
        <w:jc w:val="left"/>
        <w:rPr>
          <w:b/>
          <w:sz w:val="26"/>
          <w:szCs w:val="26"/>
          <w:u w:val="single"/>
        </w:rPr>
      </w:pPr>
      <w:r w:rsidRPr="0038447A">
        <w:rPr>
          <w:b/>
          <w:sz w:val="26"/>
          <w:szCs w:val="26"/>
          <w:u w:val="single"/>
        </w:rPr>
        <w:lastRenderedPageBreak/>
        <w:t>Politikas rezultāti:</w:t>
      </w:r>
    </w:p>
    <w:p w14:paraId="42D0F293" w14:textId="77777777" w:rsidR="00DE6583" w:rsidRPr="0038447A" w:rsidRDefault="000A003F" w:rsidP="00DE6583">
      <w:pPr>
        <w:pStyle w:val="NoSpacing"/>
        <w:jc w:val="right"/>
        <w:rPr>
          <w:b w:val="0"/>
          <w:i/>
          <w:sz w:val="26"/>
          <w:szCs w:val="26"/>
        </w:rPr>
      </w:pPr>
      <w:r>
        <w:rPr>
          <w:b w:val="0"/>
          <w:i/>
          <w:sz w:val="26"/>
          <w:szCs w:val="26"/>
        </w:rPr>
        <w:t>2</w:t>
      </w:r>
      <w:r w:rsidR="00DE6583" w:rsidRPr="0038447A">
        <w:rPr>
          <w:b w:val="0"/>
          <w:i/>
          <w:sz w:val="26"/>
          <w:szCs w:val="26"/>
        </w:rPr>
        <w:t>.tabula</w:t>
      </w:r>
    </w:p>
    <w:tbl>
      <w:tblPr>
        <w:tblW w:w="974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809"/>
        <w:gridCol w:w="2268"/>
        <w:gridCol w:w="1134"/>
        <w:gridCol w:w="1134"/>
        <w:gridCol w:w="1134"/>
        <w:gridCol w:w="1134"/>
        <w:gridCol w:w="1134"/>
      </w:tblGrid>
      <w:tr w:rsidR="002C219C" w:rsidRPr="0038447A" w14:paraId="42D0F295" w14:textId="77777777" w:rsidTr="007E68E1">
        <w:trPr>
          <w:trHeight w:val="339"/>
        </w:trPr>
        <w:tc>
          <w:tcPr>
            <w:tcW w:w="9747" w:type="dxa"/>
            <w:gridSpan w:val="7"/>
            <w:shd w:val="clear" w:color="auto" w:fill="auto"/>
          </w:tcPr>
          <w:p w14:paraId="42D0F294" w14:textId="77777777" w:rsidR="002C219C" w:rsidRPr="0038447A" w:rsidRDefault="00AF10D2" w:rsidP="002C219C">
            <w:pPr>
              <w:ind w:firstLine="0"/>
              <w:jc w:val="left"/>
              <w:rPr>
                <w:rFonts w:eastAsia="Calibri" w:cs="Times New Roman"/>
                <w:sz w:val="22"/>
                <w:vertAlign w:val="superscript"/>
              </w:rPr>
            </w:pPr>
            <w:r w:rsidRPr="0038447A">
              <w:rPr>
                <w:rFonts w:eastAsia="Calibri" w:cs="Times New Roman"/>
                <w:sz w:val="22"/>
              </w:rPr>
              <w:t>1.</w:t>
            </w:r>
            <w:r w:rsidR="002C219C" w:rsidRPr="0038447A">
              <w:rPr>
                <w:rFonts w:eastAsia="Calibri" w:cs="Times New Roman"/>
                <w:sz w:val="22"/>
              </w:rPr>
              <w:t xml:space="preserve"> Politikas rezultāti</w:t>
            </w:r>
          </w:p>
        </w:tc>
      </w:tr>
      <w:tr w:rsidR="002C219C" w:rsidRPr="0038447A" w14:paraId="42D0F299" w14:textId="77777777" w:rsidTr="007E68E1">
        <w:trPr>
          <w:trHeight w:val="96"/>
        </w:trPr>
        <w:tc>
          <w:tcPr>
            <w:tcW w:w="1809" w:type="dxa"/>
            <w:vMerge w:val="restart"/>
            <w:shd w:val="clear" w:color="auto" w:fill="auto"/>
          </w:tcPr>
          <w:p w14:paraId="42D0F296" w14:textId="77777777" w:rsidR="002C219C" w:rsidRPr="0038447A" w:rsidRDefault="00AF10D2" w:rsidP="002C219C">
            <w:pPr>
              <w:ind w:firstLine="0"/>
              <w:jc w:val="left"/>
              <w:rPr>
                <w:rFonts w:eastAsia="Calibri" w:cs="Times New Roman"/>
                <w:sz w:val="22"/>
              </w:rPr>
            </w:pPr>
            <w:r w:rsidRPr="0038447A">
              <w:rPr>
                <w:rFonts w:eastAsia="Calibri" w:cs="Times New Roman"/>
                <w:sz w:val="22"/>
              </w:rPr>
              <w:t>1.1.</w:t>
            </w:r>
            <w:r w:rsidR="002C219C" w:rsidRPr="0038447A">
              <w:rPr>
                <w:rFonts w:eastAsia="Calibri" w:cs="Times New Roman"/>
                <w:sz w:val="22"/>
              </w:rPr>
              <w:t xml:space="preserve">Rezultāts </w:t>
            </w:r>
          </w:p>
        </w:tc>
        <w:tc>
          <w:tcPr>
            <w:tcW w:w="2268" w:type="dxa"/>
            <w:vMerge w:val="restart"/>
            <w:shd w:val="clear" w:color="auto" w:fill="auto"/>
          </w:tcPr>
          <w:p w14:paraId="42D0F297" w14:textId="77777777" w:rsidR="002C219C" w:rsidRPr="0038447A" w:rsidRDefault="00AF10D2" w:rsidP="002C219C">
            <w:pPr>
              <w:ind w:firstLine="0"/>
              <w:jc w:val="left"/>
              <w:rPr>
                <w:rFonts w:eastAsia="Calibri" w:cs="Times New Roman"/>
                <w:sz w:val="22"/>
                <w:vertAlign w:val="superscript"/>
              </w:rPr>
            </w:pPr>
            <w:r w:rsidRPr="0038447A">
              <w:rPr>
                <w:rFonts w:eastAsia="Calibri" w:cs="Times New Roman"/>
                <w:sz w:val="22"/>
              </w:rPr>
              <w:t>1.2.</w:t>
            </w:r>
            <w:r w:rsidR="002C219C" w:rsidRPr="0038447A">
              <w:rPr>
                <w:rFonts w:eastAsia="Calibri" w:cs="Times New Roman"/>
                <w:sz w:val="22"/>
              </w:rPr>
              <w:t xml:space="preserve"> Rezultatīvais rādītājs</w:t>
            </w:r>
          </w:p>
        </w:tc>
        <w:tc>
          <w:tcPr>
            <w:tcW w:w="5670" w:type="dxa"/>
            <w:gridSpan w:val="5"/>
            <w:shd w:val="clear" w:color="auto" w:fill="auto"/>
          </w:tcPr>
          <w:p w14:paraId="42D0F298" w14:textId="77777777" w:rsidR="002C219C" w:rsidRPr="0038447A" w:rsidRDefault="00AF10D2" w:rsidP="002C219C">
            <w:pPr>
              <w:ind w:firstLine="0"/>
              <w:jc w:val="left"/>
              <w:rPr>
                <w:rFonts w:eastAsia="Calibri" w:cs="Times New Roman"/>
                <w:sz w:val="22"/>
              </w:rPr>
            </w:pPr>
            <w:r w:rsidRPr="0038447A">
              <w:rPr>
                <w:rFonts w:eastAsia="Calibri" w:cs="Times New Roman"/>
                <w:sz w:val="22"/>
              </w:rPr>
              <w:t>1</w:t>
            </w:r>
            <w:r w:rsidR="002C219C" w:rsidRPr="0038447A">
              <w:rPr>
                <w:rFonts w:eastAsia="Calibri" w:cs="Times New Roman"/>
                <w:sz w:val="22"/>
              </w:rPr>
              <w:t>.3. Rezultatīvā rādītāja skaitliskās vērtības</w:t>
            </w:r>
          </w:p>
        </w:tc>
      </w:tr>
      <w:tr w:rsidR="00304A73" w:rsidRPr="0038447A" w14:paraId="42D0F2A1" w14:textId="77777777" w:rsidTr="007E68E1">
        <w:trPr>
          <w:trHeight w:val="270"/>
        </w:trPr>
        <w:tc>
          <w:tcPr>
            <w:tcW w:w="1809" w:type="dxa"/>
            <w:vMerge/>
            <w:shd w:val="clear" w:color="auto" w:fill="auto"/>
          </w:tcPr>
          <w:p w14:paraId="42D0F29A" w14:textId="77777777" w:rsidR="002C219C" w:rsidRPr="0038447A" w:rsidRDefault="002C219C" w:rsidP="002C219C">
            <w:pPr>
              <w:ind w:firstLine="0"/>
              <w:jc w:val="left"/>
              <w:rPr>
                <w:rFonts w:eastAsia="Calibri" w:cs="Times New Roman"/>
                <w:sz w:val="22"/>
              </w:rPr>
            </w:pPr>
          </w:p>
        </w:tc>
        <w:tc>
          <w:tcPr>
            <w:tcW w:w="2268" w:type="dxa"/>
            <w:vMerge/>
            <w:shd w:val="clear" w:color="auto" w:fill="auto"/>
          </w:tcPr>
          <w:p w14:paraId="42D0F29B" w14:textId="77777777" w:rsidR="002C219C" w:rsidRPr="0038447A" w:rsidRDefault="002C219C" w:rsidP="002C219C">
            <w:pPr>
              <w:ind w:firstLine="0"/>
              <w:jc w:val="left"/>
              <w:rPr>
                <w:rFonts w:eastAsia="Calibri" w:cs="Times New Roman"/>
                <w:sz w:val="22"/>
              </w:rPr>
            </w:pPr>
          </w:p>
        </w:tc>
        <w:tc>
          <w:tcPr>
            <w:tcW w:w="1134" w:type="dxa"/>
            <w:shd w:val="clear" w:color="auto" w:fill="auto"/>
          </w:tcPr>
          <w:p w14:paraId="42D0F29C" w14:textId="77777777" w:rsidR="002C219C" w:rsidRPr="0038447A" w:rsidRDefault="00CF63A2" w:rsidP="002C219C">
            <w:pPr>
              <w:ind w:firstLine="0"/>
              <w:jc w:val="center"/>
              <w:rPr>
                <w:rFonts w:eastAsia="Calibri" w:cs="Times New Roman"/>
                <w:sz w:val="22"/>
              </w:rPr>
            </w:pPr>
            <w:r>
              <w:rPr>
                <w:rFonts w:eastAsia="Calibri" w:cs="Times New Roman"/>
                <w:sz w:val="22"/>
              </w:rPr>
              <w:t>2015.gad</w:t>
            </w:r>
            <w:r w:rsidR="003E1DCD">
              <w:rPr>
                <w:rFonts w:eastAsia="Calibri" w:cs="Times New Roman"/>
                <w:sz w:val="22"/>
              </w:rPr>
              <w:t>a</w:t>
            </w:r>
            <w:r>
              <w:rPr>
                <w:rFonts w:eastAsia="Calibri" w:cs="Times New Roman"/>
                <w:sz w:val="22"/>
              </w:rPr>
              <w:t xml:space="preserve"> izpilde</w:t>
            </w:r>
          </w:p>
        </w:tc>
        <w:tc>
          <w:tcPr>
            <w:tcW w:w="1134" w:type="dxa"/>
            <w:shd w:val="clear" w:color="auto" w:fill="auto"/>
          </w:tcPr>
          <w:p w14:paraId="42D0F29D" w14:textId="77777777" w:rsidR="002C219C" w:rsidRPr="0038447A" w:rsidRDefault="006349C5" w:rsidP="002C219C">
            <w:pPr>
              <w:ind w:firstLine="0"/>
              <w:jc w:val="center"/>
              <w:rPr>
                <w:rFonts w:eastAsia="Calibri" w:cs="Times New Roman"/>
                <w:sz w:val="22"/>
              </w:rPr>
            </w:pPr>
            <w:r w:rsidRPr="0038447A">
              <w:rPr>
                <w:rFonts w:eastAsia="Calibri" w:cs="Times New Roman"/>
                <w:sz w:val="22"/>
              </w:rPr>
              <w:t>2016.gada izpilde</w:t>
            </w:r>
          </w:p>
        </w:tc>
        <w:tc>
          <w:tcPr>
            <w:tcW w:w="1134" w:type="dxa"/>
            <w:shd w:val="clear" w:color="auto" w:fill="auto"/>
          </w:tcPr>
          <w:p w14:paraId="42D0F29E" w14:textId="77777777" w:rsidR="002C219C" w:rsidRPr="0038447A" w:rsidRDefault="002C219C" w:rsidP="00CF63A2">
            <w:pPr>
              <w:ind w:firstLine="0"/>
              <w:jc w:val="center"/>
              <w:rPr>
                <w:rFonts w:eastAsia="Calibri" w:cs="Times New Roman"/>
                <w:sz w:val="22"/>
              </w:rPr>
            </w:pPr>
            <w:r w:rsidRPr="0038447A">
              <w:rPr>
                <w:rFonts w:eastAsia="Calibri" w:cs="Times New Roman"/>
                <w:sz w:val="22"/>
              </w:rPr>
              <w:t xml:space="preserve">2017.gada </w:t>
            </w:r>
            <w:r w:rsidR="00CF63A2">
              <w:rPr>
                <w:rFonts w:eastAsia="Calibri" w:cs="Times New Roman"/>
                <w:sz w:val="22"/>
              </w:rPr>
              <w:t>plāns</w:t>
            </w:r>
          </w:p>
        </w:tc>
        <w:tc>
          <w:tcPr>
            <w:tcW w:w="1134" w:type="dxa"/>
            <w:shd w:val="clear" w:color="auto" w:fill="auto"/>
          </w:tcPr>
          <w:p w14:paraId="42D0F29F" w14:textId="77777777" w:rsidR="002C219C" w:rsidRPr="0038447A" w:rsidRDefault="002C219C" w:rsidP="00CF63A2">
            <w:pPr>
              <w:ind w:firstLine="0"/>
              <w:jc w:val="center"/>
              <w:rPr>
                <w:rFonts w:eastAsia="Calibri" w:cs="Times New Roman"/>
                <w:sz w:val="22"/>
              </w:rPr>
            </w:pPr>
            <w:r w:rsidRPr="0038447A">
              <w:rPr>
                <w:rFonts w:eastAsia="Calibri" w:cs="Times New Roman"/>
                <w:sz w:val="22"/>
              </w:rPr>
              <w:t>2018.gada p</w:t>
            </w:r>
            <w:r w:rsidR="00CF63A2">
              <w:rPr>
                <w:rFonts w:eastAsia="Calibri" w:cs="Times New Roman"/>
                <w:sz w:val="22"/>
              </w:rPr>
              <w:t>lāns</w:t>
            </w:r>
          </w:p>
        </w:tc>
        <w:tc>
          <w:tcPr>
            <w:tcW w:w="1134" w:type="dxa"/>
            <w:shd w:val="clear" w:color="auto" w:fill="auto"/>
          </w:tcPr>
          <w:p w14:paraId="42D0F2A0" w14:textId="77777777" w:rsidR="002C219C" w:rsidRPr="0038447A" w:rsidRDefault="002C219C" w:rsidP="00CF63A2">
            <w:pPr>
              <w:ind w:firstLine="0"/>
              <w:jc w:val="center"/>
              <w:rPr>
                <w:rFonts w:eastAsia="Calibri" w:cs="Times New Roman"/>
                <w:sz w:val="22"/>
              </w:rPr>
            </w:pPr>
            <w:r w:rsidRPr="0038447A">
              <w:rPr>
                <w:rFonts w:eastAsia="Calibri" w:cs="Times New Roman"/>
                <w:sz w:val="22"/>
              </w:rPr>
              <w:t>2019.gada p</w:t>
            </w:r>
            <w:r w:rsidR="00CF63A2">
              <w:rPr>
                <w:rFonts w:eastAsia="Calibri" w:cs="Times New Roman"/>
                <w:sz w:val="22"/>
              </w:rPr>
              <w:t>lāns</w:t>
            </w:r>
          </w:p>
        </w:tc>
      </w:tr>
      <w:tr w:rsidR="00D0627A" w:rsidRPr="0038447A" w14:paraId="42D0F2AB" w14:textId="77777777" w:rsidTr="007E68E1">
        <w:trPr>
          <w:trHeight w:val="812"/>
        </w:trPr>
        <w:tc>
          <w:tcPr>
            <w:tcW w:w="1809" w:type="dxa"/>
            <w:vMerge w:val="restart"/>
            <w:shd w:val="clear" w:color="auto" w:fill="auto"/>
            <w:vAlign w:val="center"/>
          </w:tcPr>
          <w:p w14:paraId="42D0F2A2" w14:textId="77777777" w:rsidR="00D0627A" w:rsidRPr="0038447A" w:rsidRDefault="00D0627A" w:rsidP="008F7688">
            <w:pPr>
              <w:ind w:right="-250" w:firstLine="0"/>
              <w:rPr>
                <w:rFonts w:eastAsia="Calibri" w:cs="Times New Roman"/>
                <w:sz w:val="22"/>
              </w:rPr>
            </w:pPr>
            <w:r w:rsidRPr="0038447A">
              <w:rPr>
                <w:rFonts w:eastAsia="Calibri" w:cs="Times New Roman"/>
                <w:sz w:val="22"/>
              </w:rPr>
              <w:t xml:space="preserve">1.1.1.Noziedzīgu nodarījumu atklāšana </w:t>
            </w:r>
          </w:p>
          <w:p w14:paraId="42D0F2A3" w14:textId="77777777" w:rsidR="00D0627A" w:rsidRPr="0038447A" w:rsidRDefault="00D0627A" w:rsidP="008F7688">
            <w:pPr>
              <w:ind w:right="-250" w:firstLine="0"/>
              <w:rPr>
                <w:rFonts w:eastAsia="Calibri" w:cs="Times New Roman"/>
                <w:sz w:val="22"/>
              </w:rPr>
            </w:pPr>
            <w:r w:rsidRPr="0038447A">
              <w:rPr>
                <w:rFonts w:eastAsia="Calibri" w:cs="Times New Roman"/>
                <w:sz w:val="22"/>
              </w:rPr>
              <w:t>un izmeklēšana</w:t>
            </w:r>
          </w:p>
        </w:tc>
        <w:tc>
          <w:tcPr>
            <w:tcW w:w="2268" w:type="dxa"/>
            <w:shd w:val="clear" w:color="auto" w:fill="auto"/>
          </w:tcPr>
          <w:p w14:paraId="42D0F2A4" w14:textId="77777777" w:rsidR="00D0627A" w:rsidRPr="0038447A" w:rsidRDefault="00D0627A" w:rsidP="00304A73">
            <w:pPr>
              <w:ind w:right="-250" w:firstLine="0"/>
              <w:jc w:val="left"/>
              <w:rPr>
                <w:rFonts w:eastAsia="Calibri" w:cs="Times New Roman"/>
                <w:sz w:val="22"/>
              </w:rPr>
            </w:pPr>
            <w:r w:rsidRPr="0038447A">
              <w:rPr>
                <w:rFonts w:eastAsia="Calibri" w:cs="Times New Roman"/>
                <w:sz w:val="22"/>
              </w:rPr>
              <w:t xml:space="preserve">1.2.1. </w:t>
            </w:r>
          </w:p>
          <w:p w14:paraId="42D0F2A5" w14:textId="77777777" w:rsidR="00D0627A" w:rsidRPr="0038447A" w:rsidRDefault="00D0627A" w:rsidP="00304A73">
            <w:pPr>
              <w:ind w:right="-250" w:firstLine="0"/>
              <w:jc w:val="left"/>
              <w:rPr>
                <w:rFonts w:eastAsia="Calibri" w:cs="Times New Roman"/>
                <w:sz w:val="22"/>
              </w:rPr>
            </w:pPr>
            <w:r w:rsidRPr="0038447A">
              <w:rPr>
                <w:sz w:val="22"/>
              </w:rPr>
              <w:t>Konstatēti noziedzīgie nodarījumi</w:t>
            </w:r>
          </w:p>
        </w:tc>
        <w:tc>
          <w:tcPr>
            <w:tcW w:w="1134" w:type="dxa"/>
            <w:shd w:val="clear" w:color="auto" w:fill="auto"/>
            <w:vAlign w:val="center"/>
          </w:tcPr>
          <w:p w14:paraId="42D0F2A6"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56</w:t>
            </w:r>
          </w:p>
        </w:tc>
        <w:tc>
          <w:tcPr>
            <w:tcW w:w="1134" w:type="dxa"/>
            <w:shd w:val="clear" w:color="auto" w:fill="auto"/>
            <w:vAlign w:val="center"/>
          </w:tcPr>
          <w:p w14:paraId="42D0F2A7"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60</w:t>
            </w:r>
          </w:p>
        </w:tc>
        <w:tc>
          <w:tcPr>
            <w:tcW w:w="1134" w:type="dxa"/>
            <w:shd w:val="clear" w:color="auto" w:fill="auto"/>
            <w:vAlign w:val="center"/>
          </w:tcPr>
          <w:p w14:paraId="42D0F2A8"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63</w:t>
            </w:r>
          </w:p>
        </w:tc>
        <w:tc>
          <w:tcPr>
            <w:tcW w:w="1134" w:type="dxa"/>
            <w:shd w:val="clear" w:color="auto" w:fill="auto"/>
            <w:vAlign w:val="center"/>
          </w:tcPr>
          <w:p w14:paraId="42D0F2A9" w14:textId="77777777" w:rsidR="00D0627A" w:rsidRPr="0038447A" w:rsidRDefault="00D0627A" w:rsidP="00654AD7">
            <w:pPr>
              <w:ind w:right="-250" w:firstLine="0"/>
              <w:jc w:val="center"/>
              <w:rPr>
                <w:rFonts w:eastAsia="Calibri" w:cs="Times New Roman"/>
                <w:sz w:val="22"/>
              </w:rPr>
            </w:pPr>
            <w:r w:rsidRPr="0038447A">
              <w:rPr>
                <w:rFonts w:eastAsia="Calibri" w:cs="Times New Roman"/>
                <w:sz w:val="22"/>
              </w:rPr>
              <w:t>64</w:t>
            </w:r>
          </w:p>
        </w:tc>
        <w:tc>
          <w:tcPr>
            <w:tcW w:w="1134" w:type="dxa"/>
            <w:shd w:val="clear" w:color="auto" w:fill="auto"/>
            <w:vAlign w:val="center"/>
          </w:tcPr>
          <w:p w14:paraId="42D0F2AA"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65</w:t>
            </w:r>
          </w:p>
        </w:tc>
      </w:tr>
      <w:tr w:rsidR="00D0627A" w:rsidRPr="0038447A" w14:paraId="42D0F2B4" w14:textId="77777777" w:rsidTr="007E68E1">
        <w:trPr>
          <w:trHeight w:val="1530"/>
        </w:trPr>
        <w:tc>
          <w:tcPr>
            <w:tcW w:w="1809" w:type="dxa"/>
            <w:vMerge/>
            <w:shd w:val="clear" w:color="auto" w:fill="auto"/>
          </w:tcPr>
          <w:p w14:paraId="42D0F2AC" w14:textId="77777777" w:rsidR="00D0627A" w:rsidRPr="0038447A" w:rsidRDefault="00D0627A" w:rsidP="002C219C">
            <w:pPr>
              <w:ind w:right="-250" w:firstLine="0"/>
              <w:jc w:val="left"/>
              <w:rPr>
                <w:rFonts w:eastAsia="Calibri" w:cs="Times New Roman"/>
                <w:sz w:val="22"/>
              </w:rPr>
            </w:pPr>
          </w:p>
        </w:tc>
        <w:tc>
          <w:tcPr>
            <w:tcW w:w="2268" w:type="dxa"/>
            <w:shd w:val="clear" w:color="auto" w:fill="auto"/>
          </w:tcPr>
          <w:p w14:paraId="42D0F2AD" w14:textId="77777777" w:rsidR="00D0627A" w:rsidRPr="0038447A" w:rsidRDefault="00D0627A" w:rsidP="00304A73">
            <w:pPr>
              <w:ind w:right="-250" w:firstLine="0"/>
              <w:jc w:val="left"/>
              <w:rPr>
                <w:rFonts w:eastAsia="Calibri" w:cs="Times New Roman"/>
                <w:sz w:val="22"/>
              </w:rPr>
            </w:pPr>
            <w:r w:rsidRPr="0038447A">
              <w:rPr>
                <w:rFonts w:eastAsia="Calibri" w:cs="Times New Roman"/>
                <w:sz w:val="22"/>
              </w:rPr>
              <w:t xml:space="preserve">1.2.2. </w:t>
            </w:r>
          </w:p>
          <w:p w14:paraId="42D0F2AE" w14:textId="77777777" w:rsidR="00D0627A" w:rsidRPr="0038447A" w:rsidRDefault="00D0627A" w:rsidP="007E68E1">
            <w:pPr>
              <w:ind w:right="33" w:firstLine="0"/>
              <w:jc w:val="left"/>
              <w:rPr>
                <w:rFonts w:eastAsia="Calibri" w:cs="Times New Roman"/>
                <w:sz w:val="22"/>
              </w:rPr>
            </w:pPr>
            <w:r w:rsidRPr="0038447A">
              <w:rPr>
                <w:sz w:val="22"/>
              </w:rPr>
              <w:t xml:space="preserve">Biroja uzsākto krimināllietu </w:t>
            </w:r>
            <w:r w:rsidR="007E68E1">
              <w:rPr>
                <w:sz w:val="22"/>
              </w:rPr>
              <w:t>ī</w:t>
            </w:r>
            <w:r w:rsidRPr="0038447A">
              <w:rPr>
                <w:sz w:val="22"/>
              </w:rPr>
              <w:t>patsvars, kas nosūtītas kriminālvajāšanai un nav izbeigtas prokuratūrā (%)</w:t>
            </w:r>
          </w:p>
        </w:tc>
        <w:tc>
          <w:tcPr>
            <w:tcW w:w="1134" w:type="dxa"/>
            <w:shd w:val="clear" w:color="auto" w:fill="auto"/>
            <w:vAlign w:val="center"/>
          </w:tcPr>
          <w:p w14:paraId="42D0F2AF"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87,5</w:t>
            </w:r>
          </w:p>
        </w:tc>
        <w:tc>
          <w:tcPr>
            <w:tcW w:w="1134" w:type="dxa"/>
            <w:shd w:val="clear" w:color="auto" w:fill="auto"/>
            <w:vAlign w:val="center"/>
          </w:tcPr>
          <w:p w14:paraId="42D0F2B0"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92,9</w:t>
            </w:r>
          </w:p>
        </w:tc>
        <w:tc>
          <w:tcPr>
            <w:tcW w:w="1134" w:type="dxa"/>
            <w:shd w:val="clear" w:color="auto" w:fill="auto"/>
            <w:vAlign w:val="center"/>
          </w:tcPr>
          <w:p w14:paraId="42D0F2B1"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95</w:t>
            </w:r>
          </w:p>
        </w:tc>
        <w:tc>
          <w:tcPr>
            <w:tcW w:w="1134" w:type="dxa"/>
            <w:shd w:val="clear" w:color="auto" w:fill="auto"/>
            <w:vAlign w:val="center"/>
          </w:tcPr>
          <w:p w14:paraId="42D0F2B2"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95</w:t>
            </w:r>
          </w:p>
        </w:tc>
        <w:tc>
          <w:tcPr>
            <w:tcW w:w="1134" w:type="dxa"/>
            <w:shd w:val="clear" w:color="auto" w:fill="auto"/>
            <w:vAlign w:val="center"/>
          </w:tcPr>
          <w:p w14:paraId="42D0F2B3"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95</w:t>
            </w:r>
          </w:p>
        </w:tc>
      </w:tr>
      <w:tr w:rsidR="00D0627A" w:rsidRPr="0038447A" w14:paraId="42D0F2BE" w14:textId="77777777" w:rsidTr="007E68E1">
        <w:trPr>
          <w:trHeight w:val="993"/>
        </w:trPr>
        <w:tc>
          <w:tcPr>
            <w:tcW w:w="1809" w:type="dxa"/>
            <w:vMerge/>
            <w:tcBorders>
              <w:bottom w:val="single" w:sz="4" w:space="0" w:color="auto"/>
            </w:tcBorders>
            <w:shd w:val="clear" w:color="auto" w:fill="auto"/>
          </w:tcPr>
          <w:p w14:paraId="42D0F2B5" w14:textId="77777777" w:rsidR="00D0627A" w:rsidRPr="0038447A" w:rsidRDefault="00D0627A" w:rsidP="00C250C0">
            <w:pPr>
              <w:ind w:right="-250" w:firstLine="0"/>
              <w:jc w:val="left"/>
              <w:rPr>
                <w:rFonts w:eastAsia="Calibri" w:cs="Times New Roman"/>
                <w:sz w:val="22"/>
              </w:rPr>
            </w:pPr>
          </w:p>
        </w:tc>
        <w:tc>
          <w:tcPr>
            <w:tcW w:w="2268" w:type="dxa"/>
            <w:tcBorders>
              <w:top w:val="outset" w:sz="2" w:space="0" w:color="auto"/>
              <w:left w:val="outset" w:sz="2" w:space="0" w:color="auto"/>
              <w:bottom w:val="single" w:sz="4" w:space="0" w:color="auto"/>
              <w:right w:val="outset" w:sz="2" w:space="0" w:color="auto"/>
            </w:tcBorders>
            <w:shd w:val="clear" w:color="auto" w:fill="auto"/>
          </w:tcPr>
          <w:p w14:paraId="42D0F2B6" w14:textId="77777777" w:rsidR="00D0627A" w:rsidRPr="0038447A" w:rsidRDefault="00D0627A" w:rsidP="00304A73">
            <w:pPr>
              <w:ind w:right="-250" w:firstLine="0"/>
              <w:jc w:val="left"/>
              <w:rPr>
                <w:rFonts w:eastAsia="Calibri" w:cs="Times New Roman"/>
                <w:sz w:val="22"/>
              </w:rPr>
            </w:pPr>
            <w:r w:rsidRPr="0038447A">
              <w:rPr>
                <w:rFonts w:eastAsia="Calibri" w:cs="Times New Roman"/>
                <w:sz w:val="22"/>
              </w:rPr>
              <w:t>1.2.3.</w:t>
            </w:r>
          </w:p>
          <w:p w14:paraId="42D0F2B7" w14:textId="77777777" w:rsidR="00D0627A" w:rsidRPr="0038447A" w:rsidRDefault="00D0627A" w:rsidP="00304A73">
            <w:pPr>
              <w:ind w:right="-250" w:firstLine="0"/>
              <w:jc w:val="left"/>
              <w:rPr>
                <w:sz w:val="22"/>
              </w:rPr>
            </w:pPr>
            <w:r w:rsidRPr="0038447A">
              <w:rPr>
                <w:sz w:val="22"/>
              </w:rPr>
              <w:t xml:space="preserve">Birojā uzsākto kriminālprocesu </w:t>
            </w:r>
          </w:p>
          <w:p w14:paraId="42D0F2B8" w14:textId="77777777" w:rsidR="00D0627A" w:rsidRPr="0038447A" w:rsidRDefault="00D0627A" w:rsidP="00304A73">
            <w:pPr>
              <w:ind w:right="-250" w:firstLine="0"/>
              <w:jc w:val="left"/>
              <w:rPr>
                <w:rFonts w:eastAsia="Calibri" w:cs="Times New Roman"/>
                <w:sz w:val="22"/>
              </w:rPr>
            </w:pPr>
            <w:r w:rsidRPr="0038447A">
              <w:rPr>
                <w:sz w:val="22"/>
              </w:rPr>
              <w:t>skaits pēc OIN sniegtās informācijas</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2B9"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7</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2BA"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6</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2BB"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12</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2BC"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13</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2BD" w14:textId="77777777" w:rsidR="00D0627A" w:rsidRPr="0038447A" w:rsidRDefault="00D0627A" w:rsidP="004E1F83">
            <w:pPr>
              <w:ind w:right="-250" w:firstLine="0"/>
              <w:jc w:val="center"/>
              <w:rPr>
                <w:rFonts w:eastAsia="Calibri" w:cs="Times New Roman"/>
                <w:sz w:val="22"/>
              </w:rPr>
            </w:pPr>
            <w:r w:rsidRPr="0038447A">
              <w:rPr>
                <w:rFonts w:eastAsia="Calibri" w:cs="Times New Roman"/>
                <w:sz w:val="22"/>
              </w:rPr>
              <w:t>14</w:t>
            </w:r>
          </w:p>
        </w:tc>
      </w:tr>
    </w:tbl>
    <w:p w14:paraId="42D0F2BF" w14:textId="77777777" w:rsidR="002C219C" w:rsidRPr="0038447A" w:rsidRDefault="002C219C" w:rsidP="002C219C">
      <w:pPr>
        <w:pStyle w:val="NoSpacing"/>
        <w:tabs>
          <w:tab w:val="left" w:pos="810"/>
        </w:tabs>
        <w:jc w:val="both"/>
        <w:rPr>
          <w:sz w:val="26"/>
          <w:szCs w:val="26"/>
        </w:rPr>
      </w:pPr>
    </w:p>
    <w:p w14:paraId="42D0F2C0" w14:textId="77777777" w:rsidR="002C219C" w:rsidRPr="0038447A" w:rsidRDefault="002C219C" w:rsidP="002C219C">
      <w:pPr>
        <w:spacing w:after="200" w:line="276" w:lineRule="auto"/>
        <w:ind w:firstLine="0"/>
        <w:jc w:val="left"/>
        <w:rPr>
          <w:b/>
          <w:sz w:val="26"/>
          <w:szCs w:val="26"/>
          <w:u w:val="single"/>
        </w:rPr>
      </w:pPr>
      <w:r w:rsidRPr="0038447A">
        <w:rPr>
          <w:b/>
          <w:sz w:val="26"/>
          <w:szCs w:val="26"/>
          <w:u w:val="single"/>
        </w:rPr>
        <w:t>Uzdevumi darbības virziena īstenošanai:</w:t>
      </w:r>
    </w:p>
    <w:p w14:paraId="42D0F2C1" w14:textId="77777777" w:rsidR="002C219C" w:rsidRPr="0038447A" w:rsidRDefault="00DB1DC5" w:rsidP="00D632B7">
      <w:pPr>
        <w:numPr>
          <w:ilvl w:val="0"/>
          <w:numId w:val="38"/>
        </w:numPr>
        <w:ind w:left="284" w:hanging="284"/>
        <w:rPr>
          <w:sz w:val="26"/>
          <w:szCs w:val="26"/>
        </w:rPr>
      </w:pPr>
      <w:r w:rsidRPr="0038447A">
        <w:rPr>
          <w:sz w:val="26"/>
          <w:szCs w:val="26"/>
        </w:rPr>
        <w:t>u</w:t>
      </w:r>
      <w:r w:rsidR="002C219C" w:rsidRPr="0038447A">
        <w:rPr>
          <w:sz w:val="26"/>
          <w:szCs w:val="26"/>
        </w:rPr>
        <w:t xml:space="preserve">zlabot Biroja </w:t>
      </w:r>
      <w:r w:rsidR="00510197">
        <w:rPr>
          <w:sz w:val="26"/>
          <w:szCs w:val="26"/>
        </w:rPr>
        <w:t>kapacitāti</w:t>
      </w:r>
      <w:r w:rsidR="00510197" w:rsidRPr="0038447A">
        <w:rPr>
          <w:sz w:val="26"/>
          <w:szCs w:val="26"/>
        </w:rPr>
        <w:t xml:space="preserve"> </w:t>
      </w:r>
      <w:r w:rsidR="002C219C" w:rsidRPr="0038447A">
        <w:rPr>
          <w:sz w:val="26"/>
          <w:szCs w:val="26"/>
        </w:rPr>
        <w:t>informācijas un datu ieguvē, apstrādē un analīzē</w:t>
      </w:r>
      <w:r w:rsidR="00084B2F">
        <w:rPr>
          <w:sz w:val="26"/>
          <w:szCs w:val="26"/>
        </w:rPr>
        <w:t xml:space="preserve">, īpaši </w:t>
      </w:r>
      <w:r w:rsidR="00510197">
        <w:rPr>
          <w:sz w:val="26"/>
          <w:szCs w:val="26"/>
        </w:rPr>
        <w:t xml:space="preserve">attiecībā uz </w:t>
      </w:r>
      <w:r w:rsidR="00084B2F">
        <w:rPr>
          <w:sz w:val="26"/>
          <w:szCs w:val="26"/>
        </w:rPr>
        <w:t>finanšu izmeklē</w:t>
      </w:r>
      <w:r w:rsidR="00510197">
        <w:rPr>
          <w:sz w:val="26"/>
          <w:szCs w:val="26"/>
        </w:rPr>
        <w:t>šanu, juridisko personu atbildību, pārrobežu kukuļošanu</w:t>
      </w:r>
      <w:r w:rsidR="002C219C" w:rsidRPr="0038447A">
        <w:rPr>
          <w:sz w:val="26"/>
          <w:szCs w:val="26"/>
        </w:rPr>
        <w:t xml:space="preserve">; </w:t>
      </w:r>
    </w:p>
    <w:p w14:paraId="42D0F2C2" w14:textId="77777777" w:rsidR="002C219C" w:rsidRPr="0038447A" w:rsidRDefault="00C214BE" w:rsidP="00D632B7">
      <w:pPr>
        <w:numPr>
          <w:ilvl w:val="0"/>
          <w:numId w:val="38"/>
        </w:numPr>
        <w:ind w:left="284" w:hanging="284"/>
        <w:rPr>
          <w:sz w:val="26"/>
          <w:szCs w:val="26"/>
        </w:rPr>
      </w:pPr>
      <w:r w:rsidRPr="0038447A">
        <w:rPr>
          <w:sz w:val="26"/>
          <w:szCs w:val="26"/>
        </w:rPr>
        <w:t>u</w:t>
      </w:r>
      <w:r w:rsidR="002C219C" w:rsidRPr="0038447A">
        <w:rPr>
          <w:sz w:val="26"/>
          <w:szCs w:val="26"/>
        </w:rPr>
        <w:t xml:space="preserve">zlabot informācijas </w:t>
      </w:r>
      <w:r w:rsidR="00CF63A2">
        <w:rPr>
          <w:sz w:val="26"/>
          <w:szCs w:val="26"/>
        </w:rPr>
        <w:t>apriti</w:t>
      </w:r>
      <w:r w:rsidR="002C219C" w:rsidRPr="0038447A">
        <w:rPr>
          <w:sz w:val="26"/>
          <w:szCs w:val="26"/>
        </w:rPr>
        <w:t xml:space="preserve"> koruptīvu noziedzīgu nodarījumu</w:t>
      </w:r>
      <w:r w:rsidR="00D84EE6" w:rsidRPr="0038447A">
        <w:rPr>
          <w:sz w:val="26"/>
          <w:szCs w:val="26"/>
        </w:rPr>
        <w:t xml:space="preserve"> atklāšanā un </w:t>
      </w:r>
      <w:r w:rsidR="002C219C" w:rsidRPr="0038447A">
        <w:rPr>
          <w:sz w:val="26"/>
          <w:szCs w:val="26"/>
        </w:rPr>
        <w:t>izmeklēšanā ar institūcijām Latvijā</w:t>
      </w:r>
      <w:r w:rsidR="00D84EE6" w:rsidRPr="0038447A">
        <w:rPr>
          <w:sz w:val="26"/>
          <w:szCs w:val="26"/>
        </w:rPr>
        <w:t xml:space="preserve"> un ārvalstīs</w:t>
      </w:r>
      <w:r w:rsidR="002C219C" w:rsidRPr="0038447A">
        <w:rPr>
          <w:sz w:val="26"/>
          <w:szCs w:val="26"/>
        </w:rPr>
        <w:t>;</w:t>
      </w:r>
    </w:p>
    <w:p w14:paraId="42D0F2C3" w14:textId="77777777" w:rsidR="002C219C" w:rsidRPr="0038447A" w:rsidRDefault="00C214BE" w:rsidP="00D632B7">
      <w:pPr>
        <w:numPr>
          <w:ilvl w:val="0"/>
          <w:numId w:val="38"/>
        </w:numPr>
        <w:ind w:left="284" w:hanging="284"/>
        <w:rPr>
          <w:sz w:val="26"/>
          <w:szCs w:val="26"/>
        </w:rPr>
      </w:pPr>
      <w:r w:rsidRPr="0038447A">
        <w:rPr>
          <w:sz w:val="26"/>
          <w:szCs w:val="26"/>
        </w:rPr>
        <w:t>n</w:t>
      </w:r>
      <w:r w:rsidR="002C219C" w:rsidRPr="0038447A">
        <w:rPr>
          <w:sz w:val="26"/>
          <w:szCs w:val="26"/>
        </w:rPr>
        <w:t xml:space="preserve">odrošināt atbilstošu un kvalitatīvu apmācību </w:t>
      </w:r>
      <w:r w:rsidR="0002718B" w:rsidRPr="0038447A">
        <w:rPr>
          <w:sz w:val="26"/>
          <w:szCs w:val="26"/>
        </w:rPr>
        <w:t xml:space="preserve">Biroja </w:t>
      </w:r>
      <w:r w:rsidR="00780712">
        <w:rPr>
          <w:sz w:val="26"/>
          <w:szCs w:val="26"/>
        </w:rPr>
        <w:t>darbiniekiem</w:t>
      </w:r>
      <w:r w:rsidR="002C219C" w:rsidRPr="0038447A">
        <w:rPr>
          <w:sz w:val="26"/>
          <w:szCs w:val="26"/>
        </w:rPr>
        <w:t xml:space="preserve"> profesionālās kvalifikācijas paaugstināšanai</w:t>
      </w:r>
      <w:r w:rsidR="0065745C" w:rsidRPr="0038447A">
        <w:rPr>
          <w:sz w:val="26"/>
          <w:szCs w:val="26"/>
        </w:rPr>
        <w:t xml:space="preserve">, īpaši </w:t>
      </w:r>
      <w:r w:rsidR="00CF63A2">
        <w:rPr>
          <w:sz w:val="26"/>
          <w:szCs w:val="26"/>
        </w:rPr>
        <w:t>saistībā ar</w:t>
      </w:r>
      <w:r w:rsidR="00780712">
        <w:rPr>
          <w:sz w:val="26"/>
          <w:szCs w:val="26"/>
        </w:rPr>
        <w:t xml:space="preserve"> finanšu </w:t>
      </w:r>
      <w:r w:rsidR="00D84EE6" w:rsidRPr="0038447A">
        <w:rPr>
          <w:sz w:val="26"/>
          <w:szCs w:val="26"/>
        </w:rPr>
        <w:t>izmeklēšanu</w:t>
      </w:r>
      <w:r w:rsidR="002C219C" w:rsidRPr="0038447A">
        <w:rPr>
          <w:sz w:val="26"/>
          <w:szCs w:val="26"/>
        </w:rPr>
        <w:t>;</w:t>
      </w:r>
    </w:p>
    <w:p w14:paraId="42D0F2C4" w14:textId="77777777" w:rsidR="00516781" w:rsidRDefault="00D0627A" w:rsidP="00516781">
      <w:pPr>
        <w:pStyle w:val="NoSpacing"/>
        <w:numPr>
          <w:ilvl w:val="0"/>
          <w:numId w:val="38"/>
        </w:numPr>
        <w:ind w:left="284" w:hanging="284"/>
        <w:jc w:val="both"/>
        <w:rPr>
          <w:b w:val="0"/>
          <w:color w:val="000000" w:themeColor="text1"/>
          <w:sz w:val="26"/>
          <w:szCs w:val="26"/>
        </w:rPr>
      </w:pPr>
      <w:r w:rsidRPr="002C6F7A">
        <w:rPr>
          <w:b w:val="0"/>
          <w:color w:val="000000" w:themeColor="text1"/>
          <w:sz w:val="26"/>
          <w:szCs w:val="26"/>
        </w:rPr>
        <w:t xml:space="preserve">izstrādāt priekšlikumus grozījumiem Krimināllikumā, palielinot sankciju par nepatiesu ziņu norādīšanu valsts amatpersonas deklarācijā lielā apmērā, lai šo noziedzīgo </w:t>
      </w:r>
      <w:r w:rsidR="002C6F7A" w:rsidRPr="002C6F7A">
        <w:rPr>
          <w:b w:val="0"/>
          <w:color w:val="000000" w:themeColor="text1"/>
          <w:sz w:val="26"/>
          <w:szCs w:val="26"/>
        </w:rPr>
        <w:t>darbību</w:t>
      </w:r>
      <w:r w:rsidRPr="002C6F7A">
        <w:rPr>
          <w:b w:val="0"/>
          <w:color w:val="000000" w:themeColor="text1"/>
          <w:sz w:val="26"/>
          <w:szCs w:val="26"/>
        </w:rPr>
        <w:t xml:space="preserve"> varētu k</w:t>
      </w:r>
      <w:r w:rsidR="005B44A4" w:rsidRPr="002C6F7A">
        <w:rPr>
          <w:b w:val="0"/>
          <w:color w:val="000000" w:themeColor="text1"/>
          <w:sz w:val="26"/>
          <w:szCs w:val="26"/>
        </w:rPr>
        <w:t>valificēt</w:t>
      </w:r>
      <w:r w:rsidR="00CF63A2">
        <w:rPr>
          <w:b w:val="0"/>
          <w:color w:val="000000" w:themeColor="text1"/>
          <w:sz w:val="26"/>
          <w:szCs w:val="26"/>
        </w:rPr>
        <w:t xml:space="preserve"> kā mazāk smagu noziegumu.</w:t>
      </w:r>
    </w:p>
    <w:p w14:paraId="42D0F2C5" w14:textId="77777777" w:rsidR="008F5449" w:rsidRPr="0038447A" w:rsidRDefault="008F5449" w:rsidP="008F5449">
      <w:pPr>
        <w:pStyle w:val="NoSpacing"/>
        <w:rPr>
          <w:sz w:val="26"/>
          <w:szCs w:val="26"/>
        </w:rPr>
      </w:pPr>
    </w:p>
    <w:p w14:paraId="42D0F2C6" w14:textId="77777777" w:rsidR="002C219C" w:rsidRPr="0038447A" w:rsidRDefault="002C219C" w:rsidP="002C219C">
      <w:pPr>
        <w:spacing w:after="200" w:line="276" w:lineRule="auto"/>
        <w:ind w:firstLine="0"/>
        <w:jc w:val="left"/>
        <w:rPr>
          <w:b/>
          <w:sz w:val="26"/>
          <w:szCs w:val="26"/>
          <w:u w:val="single"/>
        </w:rPr>
      </w:pPr>
      <w:r w:rsidRPr="0038447A">
        <w:rPr>
          <w:b/>
          <w:sz w:val="26"/>
          <w:szCs w:val="26"/>
          <w:u w:val="single"/>
        </w:rPr>
        <w:t>Iesaistītās iestādes:</w:t>
      </w:r>
    </w:p>
    <w:p w14:paraId="42D0F2C7" w14:textId="77777777" w:rsidR="00665E8D" w:rsidRPr="0038447A" w:rsidRDefault="002C219C" w:rsidP="00C214BE">
      <w:pPr>
        <w:rPr>
          <w:sz w:val="26"/>
          <w:szCs w:val="26"/>
        </w:rPr>
      </w:pPr>
      <w:r w:rsidRPr="00CF63A2">
        <w:rPr>
          <w:sz w:val="26"/>
          <w:szCs w:val="26"/>
        </w:rPr>
        <w:t>Tieslietu ministrij</w:t>
      </w:r>
      <w:r w:rsidR="008F5955">
        <w:rPr>
          <w:sz w:val="26"/>
          <w:szCs w:val="26"/>
        </w:rPr>
        <w:t>a</w:t>
      </w:r>
      <w:r w:rsidR="008F5955">
        <w:rPr>
          <w:rStyle w:val="FootnoteReference"/>
          <w:sz w:val="26"/>
          <w:szCs w:val="26"/>
        </w:rPr>
        <w:footnoteReference w:id="11"/>
      </w:r>
    </w:p>
    <w:p w14:paraId="42D0F2C8" w14:textId="77777777" w:rsidR="001517B5" w:rsidRDefault="001517B5" w:rsidP="004569B2">
      <w:pPr>
        <w:pStyle w:val="NoSpacing"/>
        <w:rPr>
          <w:b w:val="0"/>
          <w:sz w:val="24"/>
          <w:szCs w:val="24"/>
        </w:rPr>
      </w:pPr>
    </w:p>
    <w:p w14:paraId="42D0F2C9" w14:textId="77777777" w:rsidR="001517B5" w:rsidRDefault="001517B5" w:rsidP="001517B5">
      <w:pPr>
        <w:pStyle w:val="NoSpacing"/>
      </w:pPr>
      <w:r>
        <w:br w:type="page"/>
      </w:r>
    </w:p>
    <w:p w14:paraId="42D0F2CA" w14:textId="77777777" w:rsidR="00CA5881" w:rsidRPr="0038447A" w:rsidRDefault="00CA5881" w:rsidP="001E1D49">
      <w:pPr>
        <w:keepNext/>
        <w:keepLines/>
        <w:numPr>
          <w:ilvl w:val="2"/>
          <w:numId w:val="29"/>
        </w:numPr>
        <w:spacing w:after="100" w:afterAutospacing="1"/>
        <w:ind w:left="0" w:firstLine="0"/>
        <w:jc w:val="center"/>
        <w:outlineLvl w:val="1"/>
        <w:rPr>
          <w:rFonts w:eastAsiaTheme="majorEastAsia" w:cstheme="majorBidi"/>
          <w:b/>
          <w:bCs/>
          <w:sz w:val="26"/>
          <w:szCs w:val="26"/>
        </w:rPr>
      </w:pPr>
      <w:bookmarkStart w:id="9" w:name="_Toc500150884"/>
      <w:r w:rsidRPr="0038447A">
        <w:rPr>
          <w:rFonts w:eastAsiaTheme="majorEastAsia" w:cstheme="majorBidi"/>
          <w:b/>
          <w:bCs/>
          <w:sz w:val="26"/>
          <w:szCs w:val="26"/>
        </w:rPr>
        <w:lastRenderedPageBreak/>
        <w:t>Valsts amatpersonu darbības kontrole</w:t>
      </w:r>
      <w:bookmarkEnd w:id="9"/>
    </w:p>
    <w:p w14:paraId="42D0F2CB" w14:textId="77777777" w:rsidR="003B3E57" w:rsidRPr="0038447A" w:rsidRDefault="006031C1" w:rsidP="003B3E57">
      <w:pPr>
        <w:ind w:firstLine="0"/>
        <w:rPr>
          <w:b/>
          <w:sz w:val="26"/>
          <w:szCs w:val="26"/>
          <w:u w:val="single"/>
        </w:rPr>
      </w:pPr>
      <w:r w:rsidRPr="0038447A">
        <w:rPr>
          <w:b/>
          <w:sz w:val="26"/>
          <w:szCs w:val="26"/>
          <w:u w:val="single"/>
        </w:rPr>
        <w:t>Esošās s</w:t>
      </w:r>
      <w:r w:rsidR="003B3E57" w:rsidRPr="0038447A">
        <w:rPr>
          <w:b/>
          <w:sz w:val="26"/>
          <w:szCs w:val="26"/>
          <w:u w:val="single"/>
        </w:rPr>
        <w:t xml:space="preserve">ituācijas apraksts: </w:t>
      </w:r>
    </w:p>
    <w:p w14:paraId="42D0F2CC" w14:textId="77777777" w:rsidR="003B3E57" w:rsidRPr="0038447A" w:rsidRDefault="003B3E57" w:rsidP="003B3E57">
      <w:pPr>
        <w:ind w:firstLine="709"/>
        <w:rPr>
          <w:rFonts w:eastAsia="Calibri" w:cs="Times New Roman"/>
          <w:sz w:val="26"/>
          <w:szCs w:val="26"/>
        </w:rPr>
      </w:pPr>
    </w:p>
    <w:p w14:paraId="42D0F2CD" w14:textId="77777777" w:rsidR="00523F0F" w:rsidRPr="0038447A" w:rsidRDefault="00523F0F" w:rsidP="003B3E57">
      <w:pPr>
        <w:ind w:firstLine="709"/>
        <w:rPr>
          <w:rFonts w:eastAsia="Calibri" w:cs="Times New Roman"/>
          <w:sz w:val="26"/>
          <w:szCs w:val="26"/>
        </w:rPr>
      </w:pPr>
      <w:r w:rsidRPr="0038447A">
        <w:rPr>
          <w:rFonts w:eastAsia="Calibri" w:cs="Times New Roman"/>
          <w:sz w:val="26"/>
          <w:szCs w:val="26"/>
        </w:rPr>
        <w:t xml:space="preserve">Birojs korupcijas novēršanas jomā kontrolē </w:t>
      </w:r>
      <w:r w:rsidR="00842ED5">
        <w:rPr>
          <w:rFonts w:eastAsia="Calibri" w:cs="Times New Roman"/>
          <w:sz w:val="26"/>
          <w:szCs w:val="26"/>
        </w:rPr>
        <w:t xml:space="preserve">likuma “Par interešu konflikta novēršanu valsts amatpersonu darbībā” (turpmāk – </w:t>
      </w:r>
      <w:r w:rsidRPr="0038447A">
        <w:rPr>
          <w:rFonts w:eastAsia="Calibri" w:cs="Times New Roman"/>
          <w:sz w:val="26"/>
          <w:szCs w:val="26"/>
        </w:rPr>
        <w:t>Interešu konflikta likum</w:t>
      </w:r>
      <w:r w:rsidR="00842ED5">
        <w:rPr>
          <w:rFonts w:eastAsia="Calibri" w:cs="Times New Roman"/>
          <w:sz w:val="26"/>
          <w:szCs w:val="26"/>
        </w:rPr>
        <w:t>s)</w:t>
      </w:r>
      <w:r w:rsidRPr="0038447A">
        <w:rPr>
          <w:rFonts w:eastAsia="Calibri" w:cs="Times New Roman"/>
          <w:sz w:val="26"/>
          <w:szCs w:val="26"/>
        </w:rPr>
        <w:t xml:space="preserve"> izpildi, kā arī citos normatīvajos aktos valsts amatpersonām noteikto papildu ierobežojumu ievērošanu. </w:t>
      </w:r>
    </w:p>
    <w:p w14:paraId="42D0F2CE" w14:textId="77777777" w:rsidR="00523F0F" w:rsidRPr="0038447A" w:rsidRDefault="00523F0F" w:rsidP="00523F0F">
      <w:pPr>
        <w:ind w:firstLine="709"/>
        <w:rPr>
          <w:rFonts w:eastAsia="Times New Roman" w:cs="Times New Roman"/>
          <w:color w:val="000000"/>
          <w:sz w:val="26"/>
          <w:szCs w:val="26"/>
          <w:lang w:eastAsia="lv-LV"/>
        </w:rPr>
      </w:pPr>
      <w:r w:rsidRPr="0038447A">
        <w:rPr>
          <w:rFonts w:eastAsia="Calibri" w:cs="Times New Roman"/>
          <w:sz w:val="26"/>
          <w:szCs w:val="26"/>
        </w:rPr>
        <w:t>Interešu konflikta likums</w:t>
      </w:r>
      <w:r w:rsidRPr="0038447A">
        <w:rPr>
          <w:rFonts w:eastAsia="Times New Roman" w:cs="Times New Roman"/>
          <w:color w:val="000000"/>
          <w:sz w:val="26"/>
          <w:szCs w:val="26"/>
          <w:lang w:eastAsia="lv-LV"/>
        </w:rPr>
        <w:t xml:space="preserve"> valsts amatpersonām nosaka valsts amatpersonas amata savienošanas, ienākumu gūšanas, komercdarbības, administratīvo aktu izdošanas, uzraudzības, kontroles, izziņas vai sodīšanas funkciju veikšanas un līgumu slēgšanas ierobežojumus, aizliegumu ietekmēt administratīvo aktu izdošanu, uzraudzības, kontroles, izziņas un sodīšanas funkciju veikšanas aizliegumus, dāvanu un ziedojumu pieņemšanas ierobežojumus, </w:t>
      </w:r>
      <w:r w:rsidRPr="0038447A">
        <w:rPr>
          <w:rFonts w:eastAsia="Calibri" w:cs="Times New Roman"/>
          <w:sz w:val="26"/>
          <w:szCs w:val="26"/>
        </w:rPr>
        <w:t>aizliegumu būt par pārstāvi, aizliegumu saņemt papildu maksu, reklamēšanas ierobežojumus, ierobežojumus rīkoties ar publiskas personas mantu, informācijas izmantošanas aizliegumu.</w:t>
      </w:r>
    </w:p>
    <w:p w14:paraId="42D0F2CF" w14:textId="77777777" w:rsidR="00523F0F" w:rsidRDefault="00A565B7" w:rsidP="00523F0F">
      <w:pPr>
        <w:rPr>
          <w:sz w:val="26"/>
          <w:szCs w:val="26"/>
          <w:lang w:eastAsia="lv-LV"/>
        </w:rPr>
      </w:pPr>
      <w:r>
        <w:rPr>
          <w:sz w:val="26"/>
          <w:szCs w:val="26"/>
          <w:lang w:eastAsia="lv-LV"/>
        </w:rPr>
        <w:t>V</w:t>
      </w:r>
      <w:r w:rsidR="00523F0F" w:rsidRPr="0038447A">
        <w:rPr>
          <w:sz w:val="26"/>
          <w:szCs w:val="26"/>
          <w:lang w:eastAsia="lv-LV"/>
        </w:rPr>
        <w:t xml:space="preserve">alsts amatpersonu darbības kontrolē konstatējama nemainīga tendence, proti, pieaug Biroja pieņemto lēmumu skaits par konstatētiem </w:t>
      </w:r>
      <w:r w:rsidR="00523F0F" w:rsidRPr="00842ED5">
        <w:rPr>
          <w:sz w:val="26"/>
          <w:szCs w:val="26"/>
          <w:lang w:eastAsia="lv-LV"/>
        </w:rPr>
        <w:t>Interešu konflikta likuma</w:t>
      </w:r>
      <w:r w:rsidR="00523F0F" w:rsidRPr="0038447A">
        <w:rPr>
          <w:sz w:val="26"/>
          <w:szCs w:val="26"/>
          <w:lang w:eastAsia="lv-LV"/>
        </w:rPr>
        <w:t xml:space="preserve"> pārkāpumiem, piemērojot naudas sodu vai izsakot mutvārdu aizrādījumu valsts amatpersonām, kuras ieņem amatus pašvaldībās un tās izveidotajās iestādēs (domes deputāti, pašvaldības iestāžu vadītāji u.c.), kā arī publiskas personas kapitālsabiedrībās.</w:t>
      </w:r>
      <w:r w:rsidR="00523F0F" w:rsidRPr="0038447A">
        <w:rPr>
          <w:sz w:val="26"/>
          <w:szCs w:val="26"/>
          <w:vertAlign w:val="superscript"/>
          <w:lang w:eastAsia="lv-LV"/>
        </w:rPr>
        <w:footnoteReference w:id="12"/>
      </w:r>
    </w:p>
    <w:p w14:paraId="42D0F2D0" w14:textId="77777777" w:rsidR="009C0741" w:rsidRPr="009C0741" w:rsidRDefault="009C0741" w:rsidP="009C0741">
      <w:pPr>
        <w:ind w:firstLine="709"/>
        <w:rPr>
          <w:sz w:val="26"/>
          <w:szCs w:val="26"/>
        </w:rPr>
      </w:pPr>
      <w:r w:rsidRPr="00B53054">
        <w:rPr>
          <w:color w:val="000000" w:themeColor="text1"/>
          <w:sz w:val="26"/>
          <w:szCs w:val="26"/>
        </w:rPr>
        <w:t>Korupcijas novēršanas un apkarošanas pamatnostādnēs 2015.-2020.gadam kā viena no korupcijas novēršanas politikas prioritātēm ir pārorientēt pretkorupcijas politiku no ārējās kontroles, ko realizē kontroles institūcijas, uz resora un</w:t>
      </w:r>
      <w:r w:rsidR="00842ED5" w:rsidRPr="00B53054">
        <w:rPr>
          <w:color w:val="000000" w:themeColor="text1"/>
          <w:sz w:val="26"/>
          <w:szCs w:val="26"/>
        </w:rPr>
        <w:t xml:space="preserve"> institūcijas iekšējo kontroli. L</w:t>
      </w:r>
      <w:r w:rsidRPr="00B53054">
        <w:rPr>
          <w:color w:val="000000" w:themeColor="text1"/>
          <w:sz w:val="26"/>
          <w:szCs w:val="26"/>
        </w:rPr>
        <w:t xml:space="preserve">ai stiprinātu publiskas personas institūciju iekšējo pretkorupcijas kontroles sistēmu, tika papildināts Interešu konflikta likuma 20.pants ar astoto daļu, paredzot, ka Ministru kabinets izdod </w:t>
      </w:r>
      <w:r w:rsidRPr="009C0741">
        <w:rPr>
          <w:sz w:val="26"/>
          <w:szCs w:val="26"/>
        </w:rPr>
        <w:t xml:space="preserve">noteikumus par iekšējās kontroles sistēmas pamatprasībām korupcijas un interešu konflikta riska novēršanai publiskas personas institūcijās. Ministru kabineta 2017.gada 27.oktobra noteikumi </w:t>
      </w:r>
      <w:r w:rsidR="000022A6">
        <w:rPr>
          <w:sz w:val="26"/>
          <w:szCs w:val="26"/>
        </w:rPr>
        <w:t>Nr.630</w:t>
      </w:r>
      <w:r w:rsidR="000022A6" w:rsidRPr="009C0741">
        <w:rPr>
          <w:sz w:val="26"/>
          <w:szCs w:val="26"/>
        </w:rPr>
        <w:t xml:space="preserve"> </w:t>
      </w:r>
      <w:r w:rsidRPr="009C0741">
        <w:rPr>
          <w:sz w:val="26"/>
          <w:szCs w:val="26"/>
        </w:rPr>
        <w:t>“Noteikumi par iekšējās kontroles sistēmas pamatprasībām korupcijas un interešu konflikta riska novēršanai publiskas personas institūcijā” veicinās publiskas personas institūciju vadītāju mērķtiecīgu un efektīvu darbību iespējamā korupcijas riska novēršanai, vienlaikus izvairoties no formālu darbību veikšanas.</w:t>
      </w:r>
    </w:p>
    <w:p w14:paraId="42D0F2D1" w14:textId="77777777" w:rsidR="00523F0F" w:rsidRDefault="00D721B9" w:rsidP="00523F0F">
      <w:pPr>
        <w:ind w:firstLine="709"/>
        <w:rPr>
          <w:sz w:val="26"/>
          <w:szCs w:val="26"/>
          <w:lang w:eastAsia="lv-LV"/>
        </w:rPr>
      </w:pPr>
      <w:r>
        <w:rPr>
          <w:sz w:val="26"/>
          <w:szCs w:val="26"/>
          <w:lang w:eastAsia="lv-LV"/>
        </w:rPr>
        <w:t>S</w:t>
      </w:r>
      <w:r w:rsidR="002316A0">
        <w:rPr>
          <w:sz w:val="26"/>
          <w:szCs w:val="26"/>
          <w:lang w:eastAsia="lv-LV"/>
        </w:rPr>
        <w:t>a</w:t>
      </w:r>
      <w:r>
        <w:rPr>
          <w:sz w:val="26"/>
          <w:szCs w:val="26"/>
          <w:lang w:eastAsia="lv-LV"/>
        </w:rPr>
        <w:t>s</w:t>
      </w:r>
      <w:r w:rsidR="002316A0">
        <w:rPr>
          <w:sz w:val="26"/>
          <w:szCs w:val="26"/>
          <w:lang w:eastAsia="lv-LV"/>
        </w:rPr>
        <w:t xml:space="preserve">kaņā ar </w:t>
      </w:r>
      <w:r w:rsidR="00523F0F" w:rsidRPr="0038447A">
        <w:rPr>
          <w:sz w:val="26"/>
          <w:szCs w:val="26"/>
          <w:lang w:eastAsia="lv-LV"/>
        </w:rPr>
        <w:t>Interešu konflikta likuma 20.panta pirmaj</w:t>
      </w:r>
      <w:r w:rsidR="002316A0">
        <w:rPr>
          <w:sz w:val="26"/>
          <w:szCs w:val="26"/>
          <w:lang w:eastAsia="lv-LV"/>
        </w:rPr>
        <w:t>ā</w:t>
      </w:r>
      <w:r w:rsidR="00523F0F" w:rsidRPr="0038447A">
        <w:rPr>
          <w:sz w:val="26"/>
          <w:szCs w:val="26"/>
          <w:lang w:eastAsia="lv-LV"/>
        </w:rPr>
        <w:t xml:space="preserve"> daļ</w:t>
      </w:r>
      <w:r w:rsidR="002316A0">
        <w:rPr>
          <w:sz w:val="26"/>
          <w:szCs w:val="26"/>
          <w:lang w:eastAsia="lv-LV"/>
        </w:rPr>
        <w:t>ā noteikto</w:t>
      </w:r>
      <w:r w:rsidR="00BF451B">
        <w:rPr>
          <w:sz w:val="26"/>
          <w:szCs w:val="26"/>
          <w:lang w:eastAsia="lv-LV"/>
        </w:rPr>
        <w:t>,</w:t>
      </w:r>
      <w:r w:rsidR="00523F0F" w:rsidRPr="0038447A">
        <w:rPr>
          <w:sz w:val="26"/>
          <w:szCs w:val="26"/>
          <w:lang w:eastAsia="lv-LV"/>
        </w:rPr>
        <w:t xml:space="preserve"> publiskas personas institūcijas vadītājam ir pienākums atbilstoši savai kompetencei nepieļaut, lai šajā institūcijā strādājošās valsts amatpersonas nonāktu interešu konflikta situācijā un šādā situācijā īstenotu valsts amatpersonas pilnvaras, savukārt Interešu konflikta likuma 20.panta astotā daļa noteic, ka Ministru kabinets izdod noteikumus par iekšējās kontroles sistēmas pamatprasībām korupcijas un interešu konflikta riska novēršanai publiskas personas institūcijās.</w:t>
      </w:r>
    </w:p>
    <w:p w14:paraId="42D0F2D2" w14:textId="77777777" w:rsidR="00842ED5" w:rsidRDefault="008F2416" w:rsidP="00A60B29">
      <w:pPr>
        <w:pStyle w:val="NoSpacing"/>
        <w:ind w:firstLine="709"/>
        <w:jc w:val="both"/>
        <w:rPr>
          <w:b w:val="0"/>
          <w:sz w:val="26"/>
          <w:szCs w:val="26"/>
          <w:lang w:eastAsia="lv-LV"/>
        </w:rPr>
      </w:pPr>
      <w:r>
        <w:rPr>
          <w:b w:val="0"/>
          <w:sz w:val="26"/>
          <w:szCs w:val="26"/>
          <w:lang w:eastAsia="lv-LV"/>
        </w:rPr>
        <w:t xml:space="preserve">Stratēģijas darbības periodā un arī turpmāk </w:t>
      </w:r>
      <w:r w:rsidR="00A60B29" w:rsidRPr="0038447A">
        <w:rPr>
          <w:b w:val="0"/>
          <w:sz w:val="26"/>
          <w:szCs w:val="26"/>
          <w:lang w:eastAsia="lv-LV"/>
        </w:rPr>
        <w:t>Birojam</w:t>
      </w:r>
      <w:r>
        <w:rPr>
          <w:b w:val="0"/>
          <w:sz w:val="26"/>
          <w:szCs w:val="26"/>
          <w:lang w:eastAsia="lv-LV"/>
        </w:rPr>
        <w:t xml:space="preserve"> ir jāveic pasākumi,</w:t>
      </w:r>
      <w:r w:rsidR="00A60B29" w:rsidRPr="0038447A">
        <w:rPr>
          <w:b w:val="0"/>
          <w:sz w:val="26"/>
          <w:szCs w:val="26"/>
          <w:lang w:eastAsia="lv-LV"/>
        </w:rPr>
        <w:t xml:space="preserve"> lai pārorientētu valsts amatpersonu interešu konflikta novēršanu un valsts amatpersonām noteikto ierobežojumu un aizliegumu kontroli no ārējās kontroles uz institūcijas iekšējo kontroli</w:t>
      </w:r>
      <w:r w:rsidR="00DE4E63">
        <w:rPr>
          <w:b w:val="0"/>
          <w:sz w:val="26"/>
          <w:szCs w:val="26"/>
          <w:lang w:eastAsia="lv-LV"/>
        </w:rPr>
        <w:t>. S</w:t>
      </w:r>
      <w:r w:rsidR="00A60B29" w:rsidRPr="0038447A">
        <w:rPr>
          <w:b w:val="0"/>
          <w:sz w:val="26"/>
          <w:szCs w:val="26"/>
          <w:lang w:eastAsia="lv-LV"/>
        </w:rPr>
        <w:t xml:space="preserve">ecīgi </w:t>
      </w:r>
      <w:r w:rsidR="00DE4E63">
        <w:rPr>
          <w:b w:val="0"/>
          <w:sz w:val="26"/>
          <w:szCs w:val="26"/>
          <w:lang w:eastAsia="lv-LV"/>
        </w:rPr>
        <w:t xml:space="preserve">ir jārisina </w:t>
      </w:r>
      <w:r w:rsidR="00A60B29" w:rsidRPr="0038447A">
        <w:rPr>
          <w:b w:val="0"/>
          <w:sz w:val="26"/>
          <w:szCs w:val="26"/>
          <w:lang w:eastAsia="lv-LV"/>
        </w:rPr>
        <w:t>jautājum</w:t>
      </w:r>
      <w:r w:rsidR="00DE4E63">
        <w:rPr>
          <w:b w:val="0"/>
          <w:sz w:val="26"/>
          <w:szCs w:val="26"/>
          <w:lang w:eastAsia="lv-LV"/>
        </w:rPr>
        <w:t>s</w:t>
      </w:r>
      <w:r w:rsidR="00A60B29" w:rsidRPr="0038447A">
        <w:rPr>
          <w:b w:val="0"/>
          <w:sz w:val="26"/>
          <w:szCs w:val="26"/>
          <w:lang w:eastAsia="lv-LV"/>
        </w:rPr>
        <w:t xml:space="preserve"> par publiskas personas institūciju vadītāju pilnvaru (kompetences) paplašināšanu interešu konflikta novēršanā, paredzot, ka </w:t>
      </w:r>
      <w:r w:rsidR="00A60B29" w:rsidRPr="0038447A">
        <w:rPr>
          <w:b w:val="0"/>
          <w:sz w:val="26"/>
          <w:szCs w:val="26"/>
          <w:lang w:eastAsia="lv-LV"/>
        </w:rPr>
        <w:lastRenderedPageBreak/>
        <w:t>publiskas personas institūcijas vadītājs kontrolē, vai attiecīgā amatu savienošana nerada interešu konfliktu, vai tā nekaitē tiešo amata pienākumu veikšanai un nav pretrunā nozares ētikas normām</w:t>
      </w:r>
      <w:r w:rsidR="00DE4E63">
        <w:rPr>
          <w:b w:val="0"/>
          <w:sz w:val="26"/>
          <w:szCs w:val="26"/>
          <w:lang w:eastAsia="lv-LV"/>
        </w:rPr>
        <w:t>. T</w:t>
      </w:r>
      <w:r w:rsidR="00A60B29" w:rsidRPr="0038447A">
        <w:rPr>
          <w:b w:val="0"/>
          <w:sz w:val="26"/>
          <w:szCs w:val="26"/>
          <w:lang w:eastAsia="lv-LV"/>
        </w:rPr>
        <w:t xml:space="preserve">ādējādi nākotnē </w:t>
      </w:r>
      <w:r w:rsidR="008827A4">
        <w:rPr>
          <w:b w:val="0"/>
          <w:sz w:val="26"/>
          <w:szCs w:val="26"/>
          <w:lang w:eastAsia="lv-LV"/>
        </w:rPr>
        <w:t xml:space="preserve">par maznozīmīgiem </w:t>
      </w:r>
      <w:r w:rsidR="00A60B29" w:rsidRPr="0038447A">
        <w:rPr>
          <w:b w:val="0"/>
          <w:sz w:val="26"/>
          <w:szCs w:val="26"/>
          <w:lang w:eastAsia="lv-LV"/>
        </w:rPr>
        <w:t>administratīv</w:t>
      </w:r>
      <w:r w:rsidR="008827A4">
        <w:rPr>
          <w:b w:val="0"/>
          <w:sz w:val="26"/>
          <w:szCs w:val="26"/>
          <w:lang w:eastAsia="lv-LV"/>
        </w:rPr>
        <w:t xml:space="preserve">ajiem </w:t>
      </w:r>
      <w:r w:rsidR="00A60B29" w:rsidRPr="0038447A">
        <w:rPr>
          <w:b w:val="0"/>
          <w:sz w:val="26"/>
          <w:szCs w:val="26"/>
          <w:lang w:eastAsia="lv-LV"/>
        </w:rPr>
        <w:t>pārkāpum</w:t>
      </w:r>
      <w:r w:rsidR="008827A4">
        <w:rPr>
          <w:b w:val="0"/>
          <w:sz w:val="26"/>
          <w:szCs w:val="26"/>
          <w:lang w:eastAsia="lv-LV"/>
        </w:rPr>
        <w:t xml:space="preserve">iem  tiktu piemērota nevis </w:t>
      </w:r>
      <w:r w:rsidR="00A60B29" w:rsidRPr="0038447A">
        <w:rPr>
          <w:b w:val="0"/>
          <w:sz w:val="26"/>
          <w:szCs w:val="26"/>
          <w:lang w:eastAsia="lv-LV"/>
        </w:rPr>
        <w:t>administratīv</w:t>
      </w:r>
      <w:r w:rsidR="008827A4">
        <w:rPr>
          <w:b w:val="0"/>
          <w:sz w:val="26"/>
          <w:szCs w:val="26"/>
          <w:lang w:eastAsia="lv-LV"/>
        </w:rPr>
        <w:t>ā</w:t>
      </w:r>
      <w:r w:rsidR="00A60B29" w:rsidRPr="0038447A">
        <w:rPr>
          <w:b w:val="0"/>
          <w:sz w:val="26"/>
          <w:szCs w:val="26"/>
          <w:lang w:eastAsia="lv-LV"/>
        </w:rPr>
        <w:t xml:space="preserve"> atbildīb</w:t>
      </w:r>
      <w:r w:rsidR="008827A4">
        <w:rPr>
          <w:b w:val="0"/>
          <w:sz w:val="26"/>
          <w:szCs w:val="26"/>
          <w:lang w:eastAsia="lv-LV"/>
        </w:rPr>
        <w:t>a</w:t>
      </w:r>
      <w:r w:rsidR="00A60B29" w:rsidRPr="0038447A">
        <w:rPr>
          <w:b w:val="0"/>
          <w:sz w:val="26"/>
          <w:szCs w:val="26"/>
          <w:lang w:eastAsia="lv-LV"/>
        </w:rPr>
        <w:t xml:space="preserve">, bet </w:t>
      </w:r>
      <w:r w:rsidR="002316A0" w:rsidRPr="0038447A">
        <w:rPr>
          <w:b w:val="0"/>
          <w:sz w:val="26"/>
          <w:szCs w:val="26"/>
          <w:lang w:eastAsia="lv-LV"/>
        </w:rPr>
        <w:t>disciplināratbildīb</w:t>
      </w:r>
      <w:r w:rsidR="002316A0">
        <w:rPr>
          <w:b w:val="0"/>
          <w:sz w:val="26"/>
          <w:szCs w:val="26"/>
          <w:lang w:eastAsia="lv-LV"/>
        </w:rPr>
        <w:t>a, institūcijas</w:t>
      </w:r>
      <w:r w:rsidR="00842ED5">
        <w:rPr>
          <w:b w:val="0"/>
          <w:sz w:val="26"/>
          <w:szCs w:val="26"/>
          <w:lang w:eastAsia="lv-LV"/>
        </w:rPr>
        <w:t xml:space="preserve"> vadītājam</w:t>
      </w:r>
      <w:r w:rsidR="00A60B29" w:rsidRPr="0038447A">
        <w:rPr>
          <w:b w:val="0"/>
          <w:sz w:val="26"/>
          <w:szCs w:val="26"/>
          <w:lang w:eastAsia="lv-LV"/>
        </w:rPr>
        <w:t xml:space="preserve"> piešķirot tiesības un pienākumu saukt pie disciplināratbildības institūcijā nodarbinātās</w:t>
      </w:r>
      <w:r w:rsidR="00842ED5" w:rsidRPr="00842ED5">
        <w:rPr>
          <w:b w:val="0"/>
          <w:sz w:val="26"/>
          <w:szCs w:val="26"/>
          <w:lang w:eastAsia="lv-LV"/>
        </w:rPr>
        <w:t xml:space="preserve"> </w:t>
      </w:r>
      <w:r w:rsidR="00842ED5" w:rsidRPr="0038447A">
        <w:rPr>
          <w:b w:val="0"/>
          <w:sz w:val="26"/>
          <w:szCs w:val="26"/>
          <w:lang w:eastAsia="lv-LV"/>
        </w:rPr>
        <w:t>valsts amatpersonas</w:t>
      </w:r>
      <w:r w:rsidR="00842ED5">
        <w:rPr>
          <w:b w:val="0"/>
          <w:sz w:val="26"/>
          <w:szCs w:val="26"/>
          <w:lang w:eastAsia="lv-LV"/>
        </w:rPr>
        <w:t>, kas izdarījušas pārkāpumus.</w:t>
      </w:r>
    </w:p>
    <w:p w14:paraId="42D0F2D3" w14:textId="77777777" w:rsidR="00A60B29" w:rsidRPr="0038447A" w:rsidRDefault="00A60B29" w:rsidP="00F32835">
      <w:pPr>
        <w:pStyle w:val="NoSpacing"/>
        <w:ind w:firstLine="709"/>
        <w:jc w:val="both"/>
        <w:rPr>
          <w:b w:val="0"/>
          <w:sz w:val="26"/>
          <w:szCs w:val="26"/>
          <w:lang w:eastAsia="lv-LV"/>
        </w:rPr>
      </w:pPr>
      <w:r w:rsidRPr="0038447A">
        <w:rPr>
          <w:b w:val="0"/>
          <w:sz w:val="26"/>
          <w:szCs w:val="26"/>
          <w:lang w:eastAsia="lv-LV"/>
        </w:rPr>
        <w:t xml:space="preserve">Vienlaikus </w:t>
      </w:r>
      <w:r w:rsidR="00F32835">
        <w:rPr>
          <w:b w:val="0"/>
          <w:sz w:val="26"/>
          <w:szCs w:val="26"/>
          <w:lang w:eastAsia="lv-LV"/>
        </w:rPr>
        <w:t>aktuāls ir</w:t>
      </w:r>
      <w:r w:rsidR="00F32835" w:rsidRPr="0038447A">
        <w:rPr>
          <w:b w:val="0"/>
          <w:sz w:val="26"/>
          <w:szCs w:val="26"/>
          <w:lang w:eastAsia="lv-LV"/>
        </w:rPr>
        <w:t xml:space="preserve"> </w:t>
      </w:r>
      <w:r w:rsidRPr="0038447A">
        <w:rPr>
          <w:b w:val="0"/>
          <w:sz w:val="26"/>
          <w:szCs w:val="26"/>
          <w:lang w:eastAsia="lv-LV"/>
        </w:rPr>
        <w:t xml:space="preserve">jautājums par publiskas personas institūcijas vadītāja atbildību gadījumā, ja tas neveiks savus pienākums attiecībā uz </w:t>
      </w:r>
      <w:r w:rsidR="008346BF" w:rsidRPr="0038447A">
        <w:rPr>
          <w:b w:val="0"/>
          <w:sz w:val="26"/>
          <w:szCs w:val="26"/>
          <w:lang w:eastAsia="lv-LV"/>
        </w:rPr>
        <w:t>interešu konflikta novēršanu viņa vadītajā institūcijā.</w:t>
      </w:r>
    </w:p>
    <w:p w14:paraId="42D0F2D4" w14:textId="77777777" w:rsidR="00F32835" w:rsidRPr="00842ED5" w:rsidRDefault="00523F0F" w:rsidP="000E4A2F">
      <w:pPr>
        <w:rPr>
          <w:rFonts w:eastAsia="Times New Roman" w:cs="Times New Roman"/>
          <w:sz w:val="26"/>
          <w:szCs w:val="26"/>
          <w:lang w:eastAsia="lv-LV"/>
        </w:rPr>
      </w:pPr>
      <w:r w:rsidRPr="0038447A">
        <w:rPr>
          <w:rFonts w:eastAsia="Times New Roman" w:cs="Times New Roman"/>
          <w:sz w:val="26"/>
          <w:szCs w:val="26"/>
          <w:lang w:eastAsia="lv-LV"/>
        </w:rPr>
        <w:t xml:space="preserve">Valsts kontrole 2015.gadā Valsts ieņēmumu dienestā (turpmāk – VID) un Birojā veica </w:t>
      </w:r>
      <w:r w:rsidRPr="0038447A">
        <w:rPr>
          <w:rFonts w:eastAsia="Times New Roman" w:cs="Times New Roman"/>
          <w:bCs/>
          <w:sz w:val="26"/>
          <w:szCs w:val="26"/>
          <w:lang w:eastAsia="lv-LV"/>
        </w:rPr>
        <w:t>likumības/lietderības revīziju</w:t>
      </w:r>
      <w:r w:rsidRPr="0038447A">
        <w:rPr>
          <w:rFonts w:eastAsia="Times New Roman" w:cs="Times New Roman"/>
          <w:sz w:val="26"/>
          <w:szCs w:val="26"/>
          <w:lang w:eastAsia="lv-LV"/>
        </w:rPr>
        <w:t xml:space="preserve"> Nr. 2.4.1-21/2015</w:t>
      </w:r>
      <w:r w:rsidRPr="0038447A">
        <w:rPr>
          <w:rFonts w:eastAsia="Times New Roman" w:cs="Times New Roman"/>
          <w:bCs/>
          <w:sz w:val="26"/>
          <w:szCs w:val="26"/>
          <w:lang w:eastAsia="lv-LV"/>
        </w:rPr>
        <w:t xml:space="preserve"> </w:t>
      </w:r>
      <w:r w:rsidRPr="0038447A">
        <w:rPr>
          <w:rFonts w:eastAsia="Times New Roman" w:cs="Times New Roman"/>
          <w:bCs/>
          <w:i/>
          <w:sz w:val="26"/>
          <w:szCs w:val="26"/>
          <w:lang w:eastAsia="lv-LV"/>
        </w:rPr>
        <w:t>”Vai valsts amatpersonu deklarācijas ir efektīvs instruments valsts amatpersonu darbības tiesiskuma un atklātības nodrošināšanā?”</w:t>
      </w:r>
      <w:r w:rsidRPr="0038447A">
        <w:rPr>
          <w:rFonts w:eastAsia="Times New Roman" w:cs="Times New Roman"/>
          <w:bCs/>
          <w:sz w:val="26"/>
          <w:szCs w:val="26"/>
          <w:lang w:eastAsia="lv-LV"/>
        </w:rPr>
        <w:t xml:space="preserve">, kurā </w:t>
      </w:r>
      <w:r w:rsidR="00857451">
        <w:rPr>
          <w:rFonts w:eastAsia="Times New Roman" w:cs="Times New Roman"/>
          <w:bCs/>
          <w:sz w:val="26"/>
          <w:szCs w:val="26"/>
          <w:lang w:eastAsia="lv-LV"/>
        </w:rPr>
        <w:t>cita</w:t>
      </w:r>
      <w:r w:rsidR="00857451" w:rsidRPr="0038447A">
        <w:rPr>
          <w:rFonts w:eastAsia="Times New Roman" w:cs="Times New Roman"/>
          <w:bCs/>
          <w:sz w:val="26"/>
          <w:szCs w:val="26"/>
          <w:lang w:eastAsia="lv-LV"/>
        </w:rPr>
        <w:t xml:space="preserve"> starp</w:t>
      </w:r>
      <w:r w:rsidRPr="0038447A">
        <w:rPr>
          <w:rFonts w:eastAsia="Times New Roman" w:cs="Times New Roman"/>
          <w:bCs/>
          <w:sz w:val="26"/>
          <w:szCs w:val="26"/>
          <w:lang w:eastAsia="lv-LV"/>
        </w:rPr>
        <w:t xml:space="preserve"> secināja, ka po</w:t>
      </w:r>
      <w:r w:rsidRPr="0038447A">
        <w:rPr>
          <w:rFonts w:eastAsia="Times New Roman" w:cs="Times New Roman"/>
          <w:sz w:val="26"/>
          <w:szCs w:val="26"/>
          <w:lang w:eastAsia="lv-LV"/>
        </w:rPr>
        <w:t xml:space="preserve">litikas plānošanas dokumentos netiek analizēta esošā un vēlamā valsts amatpersonu deklarēšanās sistēmas ietekme interešu konflikta identificēšanā un korupcijas novēršanā, kā arī netiek definēti sasniedzamie rezultatīvie rādītāji, kas ļautu novērtēt sistēmas nozīmīgumu un attīstību. </w:t>
      </w:r>
      <w:r w:rsidR="0040602C">
        <w:rPr>
          <w:rFonts w:eastAsia="Times New Roman" w:cs="Times New Roman"/>
          <w:sz w:val="26"/>
          <w:szCs w:val="26"/>
          <w:lang w:eastAsia="lv-LV"/>
        </w:rPr>
        <w:t xml:space="preserve">Minētajā revīzijas ziņojumā Valsts kontrole sniedz konkrētus ieteikumus normatīvo aktu pilnveidei. </w:t>
      </w:r>
      <w:r w:rsidR="00882731">
        <w:rPr>
          <w:rFonts w:eastAsia="Times New Roman" w:cs="Times New Roman"/>
          <w:sz w:val="26"/>
          <w:szCs w:val="26"/>
          <w:lang w:eastAsia="lv-LV"/>
        </w:rPr>
        <w:t xml:space="preserve">VID sadarbībā ar Biroju izstrādāja priekšlikumus </w:t>
      </w:r>
      <w:r w:rsidR="00842ED5">
        <w:rPr>
          <w:rFonts w:eastAsia="Times New Roman" w:cs="Times New Roman"/>
          <w:sz w:val="26"/>
          <w:szCs w:val="26"/>
          <w:lang w:eastAsia="lv-LV"/>
        </w:rPr>
        <w:t>Interešu konflikta likumā</w:t>
      </w:r>
      <w:r w:rsidR="00882731">
        <w:rPr>
          <w:rFonts w:eastAsia="Times New Roman" w:cs="Times New Roman"/>
          <w:sz w:val="26"/>
          <w:szCs w:val="26"/>
          <w:lang w:eastAsia="lv-LV"/>
        </w:rPr>
        <w:t xml:space="preserve"> par kompetences sadalījumu starp abām iestādēm deklarāciju izvērtēšanā. </w:t>
      </w:r>
      <w:r w:rsidR="00654F41">
        <w:rPr>
          <w:rFonts w:eastAsia="Times New Roman" w:cs="Times New Roman"/>
          <w:sz w:val="26"/>
          <w:szCs w:val="26"/>
          <w:lang w:eastAsia="lv-LV"/>
        </w:rPr>
        <w:t xml:space="preserve">Lai veiktu pasākumus </w:t>
      </w:r>
      <w:r w:rsidR="0040602C">
        <w:rPr>
          <w:rFonts w:eastAsia="Times New Roman" w:cs="Times New Roman"/>
          <w:sz w:val="26"/>
          <w:szCs w:val="26"/>
          <w:lang w:eastAsia="lv-LV"/>
        </w:rPr>
        <w:t>ieteikum</w:t>
      </w:r>
      <w:r w:rsidR="00882731">
        <w:rPr>
          <w:rFonts w:eastAsia="Times New Roman" w:cs="Times New Roman"/>
          <w:sz w:val="26"/>
          <w:szCs w:val="26"/>
          <w:lang w:eastAsia="lv-LV"/>
        </w:rPr>
        <w:t>u</w:t>
      </w:r>
      <w:r w:rsidR="0040602C">
        <w:rPr>
          <w:rFonts w:eastAsia="Times New Roman" w:cs="Times New Roman"/>
          <w:sz w:val="26"/>
          <w:szCs w:val="26"/>
          <w:lang w:eastAsia="lv-LV"/>
        </w:rPr>
        <w:t xml:space="preserve"> izpildē</w:t>
      </w:r>
      <w:r w:rsidR="00882731">
        <w:rPr>
          <w:rFonts w:eastAsia="Times New Roman" w:cs="Times New Roman"/>
          <w:sz w:val="26"/>
          <w:szCs w:val="26"/>
          <w:lang w:eastAsia="lv-LV"/>
        </w:rPr>
        <w:t xml:space="preserve"> attiecībā uz </w:t>
      </w:r>
      <w:r w:rsidR="000E4A2F">
        <w:rPr>
          <w:rFonts w:eastAsia="Times New Roman" w:cs="Times New Roman"/>
          <w:sz w:val="26"/>
          <w:szCs w:val="26"/>
          <w:lang w:eastAsia="lv-LV"/>
        </w:rPr>
        <w:t>deklarēšanās sistēmas efektivitāti, Birojs sadarbībā ar VID Stratēģijas</w:t>
      </w:r>
      <w:r w:rsidR="002316A0">
        <w:rPr>
          <w:rFonts w:eastAsia="Times New Roman" w:cs="Times New Roman"/>
          <w:sz w:val="26"/>
          <w:szCs w:val="26"/>
          <w:lang w:eastAsia="lv-LV"/>
        </w:rPr>
        <w:t xml:space="preserve"> darbības</w:t>
      </w:r>
      <w:r w:rsidR="000E4A2F">
        <w:rPr>
          <w:rFonts w:eastAsia="Times New Roman" w:cs="Times New Roman"/>
          <w:sz w:val="26"/>
          <w:szCs w:val="26"/>
          <w:lang w:eastAsia="lv-LV"/>
        </w:rPr>
        <w:t xml:space="preserve"> periodā izstrādās priekšlikumus normatīvo aktu grozījumiem. </w:t>
      </w:r>
    </w:p>
    <w:p w14:paraId="42D0F2D5" w14:textId="77777777" w:rsidR="00B740A6" w:rsidRPr="0038447A" w:rsidRDefault="00523F0F" w:rsidP="00B740A6">
      <w:pPr>
        <w:rPr>
          <w:sz w:val="26"/>
          <w:szCs w:val="26"/>
        </w:rPr>
      </w:pPr>
      <w:r w:rsidRPr="0038447A">
        <w:rPr>
          <w:sz w:val="26"/>
          <w:szCs w:val="26"/>
        </w:rPr>
        <w:t xml:space="preserve">Tāpat Birojs izstrādāja un 2016.gada 7.jūlijā Valsts sekretāru sanāksmē pieteica </w:t>
      </w:r>
      <w:r w:rsidR="000604A8" w:rsidRPr="0038447A">
        <w:rPr>
          <w:sz w:val="26"/>
          <w:szCs w:val="26"/>
        </w:rPr>
        <w:t xml:space="preserve">būtiskus </w:t>
      </w:r>
      <w:r w:rsidRPr="0038447A">
        <w:rPr>
          <w:sz w:val="26"/>
          <w:szCs w:val="26"/>
        </w:rPr>
        <w:t>grozījumus likumā „Par interešu konflikta novēršanu valsts amatpersonu darbībā” (VSS-653</w:t>
      </w:r>
      <w:r w:rsidR="00B740A6" w:rsidRPr="0038447A">
        <w:rPr>
          <w:sz w:val="26"/>
          <w:szCs w:val="26"/>
        </w:rPr>
        <w:t>). Minētais likumprojekts paredz virkni grozījumu, kas būtiski uzlabo ziedojumu pieņemšanas kārtību; paplašina to personu loku, kuras tiek kvalificētas kā radinieks; nosaka papildu pienākumu informēt publiskas personas institūcijas vadītāju vai Biroju par interešu konflikta situācijām vai iespējamiem korupcijas, tai skaitā ārvalstu amatpersonu kukuļošanas, gadījumiem; paplašina to personu loku, kuras jānorāda valsts amatperson</w:t>
      </w:r>
      <w:r w:rsidR="002316A0">
        <w:rPr>
          <w:sz w:val="26"/>
          <w:szCs w:val="26"/>
        </w:rPr>
        <w:t>as</w:t>
      </w:r>
      <w:r w:rsidR="00B740A6" w:rsidRPr="0038447A">
        <w:rPr>
          <w:sz w:val="26"/>
          <w:szCs w:val="26"/>
        </w:rPr>
        <w:t xml:space="preserve"> deklarācijā; noteikta Satversmes aizsardzības biroja direktora valsts amatpersonas deklarācijas iesniegšanas kārtība; noteikti terminēti komercdarbības ierobežojumi valsts amatpersonai, kura veikusi izmeklēšanas funkcijas; </w:t>
      </w:r>
      <w:r w:rsidR="00CA5881" w:rsidRPr="0038447A">
        <w:rPr>
          <w:sz w:val="26"/>
          <w:szCs w:val="26"/>
        </w:rPr>
        <w:t>precizē</w:t>
      </w:r>
      <w:r w:rsidR="00B740A6" w:rsidRPr="0038447A">
        <w:rPr>
          <w:sz w:val="26"/>
          <w:szCs w:val="26"/>
        </w:rPr>
        <w:t>ti</w:t>
      </w:r>
      <w:r w:rsidR="00CA5881" w:rsidRPr="0038447A">
        <w:rPr>
          <w:sz w:val="26"/>
          <w:szCs w:val="26"/>
        </w:rPr>
        <w:t xml:space="preserve"> valsts amatpersonas pienākum</w:t>
      </w:r>
      <w:r w:rsidR="00B740A6" w:rsidRPr="0038447A">
        <w:rPr>
          <w:sz w:val="26"/>
          <w:szCs w:val="26"/>
        </w:rPr>
        <w:t>i</w:t>
      </w:r>
      <w:r w:rsidR="00CA5881" w:rsidRPr="0038447A">
        <w:rPr>
          <w:sz w:val="26"/>
          <w:szCs w:val="26"/>
        </w:rPr>
        <w:t xml:space="preserve"> un rīcīb</w:t>
      </w:r>
      <w:r w:rsidR="00B740A6" w:rsidRPr="0038447A">
        <w:rPr>
          <w:sz w:val="26"/>
          <w:szCs w:val="26"/>
        </w:rPr>
        <w:t>a</w:t>
      </w:r>
      <w:r w:rsidR="00CA5881" w:rsidRPr="0038447A">
        <w:rPr>
          <w:sz w:val="26"/>
          <w:szCs w:val="26"/>
        </w:rPr>
        <w:t xml:space="preserve">, nosakot papildu gadījumus </w:t>
      </w:r>
      <w:r w:rsidR="00B740A6" w:rsidRPr="0038447A">
        <w:rPr>
          <w:sz w:val="26"/>
          <w:szCs w:val="26"/>
        </w:rPr>
        <w:t>un paredzot konkrētus termiņus publiskas personas institūcijas vadītāja informēšanai par valsts amatpersonas iespējamo interešu konfliktu u.c. grozījumus</w:t>
      </w:r>
      <w:r w:rsidR="008346BF" w:rsidRPr="0038447A">
        <w:rPr>
          <w:rStyle w:val="FootnoteReference"/>
          <w:sz w:val="26"/>
          <w:szCs w:val="26"/>
        </w:rPr>
        <w:footnoteReference w:id="13"/>
      </w:r>
      <w:r w:rsidR="00B740A6" w:rsidRPr="0038447A">
        <w:rPr>
          <w:sz w:val="26"/>
          <w:szCs w:val="26"/>
        </w:rPr>
        <w:t>.</w:t>
      </w:r>
      <w:r w:rsidR="000022A6">
        <w:rPr>
          <w:sz w:val="26"/>
          <w:szCs w:val="26"/>
        </w:rPr>
        <w:t xml:space="preserve"> </w:t>
      </w:r>
      <w:r w:rsidR="000022A6" w:rsidRPr="000022A6">
        <w:rPr>
          <w:sz w:val="26"/>
          <w:szCs w:val="26"/>
        </w:rPr>
        <w:t>Šobrīd Birojs turpina minētā likumprojekta saskaņošanas procesu ar iesaistītajām pusēm. Plānotais likumprojekta iesniegšanas termiņš Valsts kancelejā, virzībai uz Ministru kabineta komiteju, ir 2018.gada 31.janvāris.</w:t>
      </w:r>
    </w:p>
    <w:p w14:paraId="42D0F2D6" w14:textId="77777777" w:rsidR="00CA5881" w:rsidRPr="0038447A" w:rsidRDefault="00CA5881" w:rsidP="00CA5881">
      <w:pPr>
        <w:rPr>
          <w:sz w:val="26"/>
          <w:szCs w:val="26"/>
        </w:rPr>
      </w:pPr>
    </w:p>
    <w:p w14:paraId="42D0F2D7" w14:textId="77777777" w:rsidR="00CA5881" w:rsidRPr="0038447A" w:rsidRDefault="00CA5881" w:rsidP="00CA5881">
      <w:pPr>
        <w:spacing w:after="200" w:line="276" w:lineRule="auto"/>
        <w:ind w:firstLine="0"/>
        <w:rPr>
          <w:b/>
          <w:sz w:val="26"/>
          <w:szCs w:val="26"/>
          <w:u w:val="single"/>
        </w:rPr>
      </w:pPr>
      <w:r w:rsidRPr="0038447A">
        <w:rPr>
          <w:b/>
          <w:sz w:val="26"/>
          <w:szCs w:val="26"/>
          <w:u w:val="single"/>
        </w:rPr>
        <w:t>Darbības virziena mērķis:</w:t>
      </w:r>
    </w:p>
    <w:p w14:paraId="42D0F2D8" w14:textId="77777777" w:rsidR="00CA5881" w:rsidRPr="0038447A" w:rsidRDefault="00CA5881" w:rsidP="00CA5881">
      <w:pPr>
        <w:ind w:firstLine="709"/>
        <w:rPr>
          <w:rFonts w:eastAsia="Calibri" w:cs="Times New Roman"/>
          <w:sz w:val="26"/>
          <w:szCs w:val="26"/>
        </w:rPr>
      </w:pPr>
      <w:r w:rsidRPr="0038447A">
        <w:rPr>
          <w:rFonts w:eastAsia="Calibri" w:cs="Times New Roman"/>
          <w:sz w:val="26"/>
          <w:szCs w:val="26"/>
        </w:rPr>
        <w:t xml:space="preserve">Nodrošināt valsts amatpersonu darbību sabiedrības interesēs, novēršot jebkuras valsts amatpersonas, tās radinieku vai darījumu partneru personiskās vai mantiskās ieinteresētības ietekmi uz valsts amatpersonas darbību, veicināt valsts amatpersonas darbības atklātumu un atbildību sabiedrības priekšā, kā arī sabiedrības uzticēšanos valsts amatpersonas darbībai. </w:t>
      </w:r>
    </w:p>
    <w:p w14:paraId="42D0F2D9" w14:textId="77777777" w:rsidR="00CA5881" w:rsidRDefault="00CA5881" w:rsidP="00A6495B">
      <w:pPr>
        <w:ind w:firstLine="0"/>
        <w:rPr>
          <w:sz w:val="26"/>
          <w:szCs w:val="26"/>
        </w:rPr>
      </w:pPr>
    </w:p>
    <w:p w14:paraId="42D0F2DA" w14:textId="77777777" w:rsidR="00CA5881" w:rsidRPr="0038447A" w:rsidRDefault="00CA5881" w:rsidP="00CA5881">
      <w:pPr>
        <w:spacing w:after="200" w:line="276" w:lineRule="auto"/>
        <w:ind w:firstLine="0"/>
        <w:jc w:val="left"/>
        <w:rPr>
          <w:b/>
          <w:sz w:val="26"/>
          <w:szCs w:val="26"/>
          <w:u w:val="single"/>
        </w:rPr>
      </w:pPr>
      <w:r w:rsidRPr="0038447A">
        <w:rPr>
          <w:b/>
          <w:sz w:val="26"/>
          <w:szCs w:val="26"/>
          <w:u w:val="single"/>
        </w:rPr>
        <w:t>Politikas rezultāti:</w:t>
      </w:r>
    </w:p>
    <w:p w14:paraId="42D0F2DB" w14:textId="77777777" w:rsidR="00CA5881" w:rsidRPr="0038447A" w:rsidRDefault="000A003F" w:rsidP="00CA5881">
      <w:pPr>
        <w:jc w:val="right"/>
        <w:rPr>
          <w:b/>
          <w:i/>
          <w:sz w:val="26"/>
          <w:szCs w:val="26"/>
        </w:rPr>
      </w:pPr>
      <w:r>
        <w:rPr>
          <w:i/>
          <w:sz w:val="26"/>
          <w:szCs w:val="26"/>
        </w:rPr>
        <w:t>3</w:t>
      </w:r>
      <w:r w:rsidR="00CA5881" w:rsidRPr="0038447A">
        <w:rPr>
          <w:i/>
          <w:sz w:val="26"/>
          <w:szCs w:val="26"/>
        </w:rPr>
        <w:t>.tabula</w:t>
      </w:r>
    </w:p>
    <w:tbl>
      <w:tblPr>
        <w:tblW w:w="960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809"/>
        <w:gridCol w:w="1985"/>
        <w:gridCol w:w="1134"/>
        <w:gridCol w:w="1276"/>
        <w:gridCol w:w="1134"/>
        <w:gridCol w:w="1134"/>
        <w:gridCol w:w="1134"/>
      </w:tblGrid>
      <w:tr w:rsidR="00CA5881" w:rsidRPr="0038447A" w14:paraId="42D0F2DD" w14:textId="77777777" w:rsidTr="00523F0F">
        <w:trPr>
          <w:trHeight w:val="339"/>
        </w:trPr>
        <w:tc>
          <w:tcPr>
            <w:tcW w:w="9606" w:type="dxa"/>
            <w:gridSpan w:val="7"/>
            <w:shd w:val="clear" w:color="auto" w:fill="auto"/>
          </w:tcPr>
          <w:p w14:paraId="42D0F2DC" w14:textId="77777777" w:rsidR="00CA5881" w:rsidRPr="0038447A" w:rsidRDefault="00CA5881" w:rsidP="00CA5881">
            <w:pPr>
              <w:ind w:firstLine="0"/>
              <w:jc w:val="left"/>
              <w:rPr>
                <w:rFonts w:eastAsia="Calibri" w:cs="Times New Roman"/>
                <w:sz w:val="22"/>
              </w:rPr>
            </w:pPr>
            <w:r w:rsidRPr="0038447A">
              <w:rPr>
                <w:rFonts w:eastAsia="Calibri" w:cs="Times New Roman"/>
                <w:sz w:val="22"/>
              </w:rPr>
              <w:t>2. Politikas rezultāti</w:t>
            </w:r>
          </w:p>
        </w:tc>
      </w:tr>
      <w:tr w:rsidR="00CA5881" w:rsidRPr="0038447A" w14:paraId="42D0F2E1" w14:textId="77777777" w:rsidTr="00523F0F">
        <w:trPr>
          <w:trHeight w:val="96"/>
        </w:trPr>
        <w:tc>
          <w:tcPr>
            <w:tcW w:w="1809" w:type="dxa"/>
            <w:vMerge w:val="restart"/>
            <w:shd w:val="clear" w:color="auto" w:fill="auto"/>
          </w:tcPr>
          <w:p w14:paraId="42D0F2DE" w14:textId="77777777" w:rsidR="00CA5881" w:rsidRPr="0038447A" w:rsidRDefault="00CA5881" w:rsidP="00CA5881">
            <w:pPr>
              <w:ind w:firstLine="0"/>
              <w:jc w:val="left"/>
              <w:rPr>
                <w:rFonts w:eastAsia="Calibri" w:cs="Times New Roman"/>
                <w:sz w:val="22"/>
              </w:rPr>
            </w:pPr>
            <w:r w:rsidRPr="0038447A">
              <w:rPr>
                <w:rFonts w:eastAsia="Calibri" w:cs="Times New Roman"/>
                <w:sz w:val="22"/>
              </w:rPr>
              <w:t xml:space="preserve">2.1.Rezultāts </w:t>
            </w:r>
          </w:p>
        </w:tc>
        <w:tc>
          <w:tcPr>
            <w:tcW w:w="1985" w:type="dxa"/>
            <w:vMerge w:val="restart"/>
            <w:shd w:val="clear" w:color="auto" w:fill="auto"/>
          </w:tcPr>
          <w:p w14:paraId="42D0F2DF" w14:textId="77777777" w:rsidR="00CA5881" w:rsidRPr="0038447A" w:rsidRDefault="00CA5881" w:rsidP="00CA5881">
            <w:pPr>
              <w:ind w:firstLine="0"/>
              <w:jc w:val="left"/>
              <w:rPr>
                <w:rFonts w:eastAsia="Calibri" w:cs="Times New Roman"/>
                <w:sz w:val="22"/>
                <w:vertAlign w:val="superscript"/>
              </w:rPr>
            </w:pPr>
            <w:r w:rsidRPr="0038447A">
              <w:rPr>
                <w:rFonts w:eastAsia="Calibri" w:cs="Times New Roman"/>
                <w:sz w:val="22"/>
              </w:rPr>
              <w:t>2.2.Rezultatīvais rādītājs</w:t>
            </w:r>
          </w:p>
        </w:tc>
        <w:tc>
          <w:tcPr>
            <w:tcW w:w="5812" w:type="dxa"/>
            <w:gridSpan w:val="5"/>
            <w:shd w:val="clear" w:color="auto" w:fill="auto"/>
          </w:tcPr>
          <w:p w14:paraId="42D0F2E0" w14:textId="77777777" w:rsidR="00CA5881" w:rsidRPr="0038447A" w:rsidRDefault="00CA5881" w:rsidP="00CA5881">
            <w:pPr>
              <w:ind w:firstLine="0"/>
              <w:jc w:val="left"/>
              <w:rPr>
                <w:rFonts w:eastAsia="Calibri" w:cs="Times New Roman"/>
                <w:sz w:val="22"/>
              </w:rPr>
            </w:pPr>
            <w:r w:rsidRPr="0038447A">
              <w:rPr>
                <w:rFonts w:eastAsia="Calibri" w:cs="Times New Roman"/>
                <w:sz w:val="22"/>
              </w:rPr>
              <w:t xml:space="preserve"> 2.3.Rezultatīvā rādītāja skaitliskās vērtības </w:t>
            </w:r>
          </w:p>
        </w:tc>
      </w:tr>
      <w:tr w:rsidR="00CA5881" w:rsidRPr="0038447A" w14:paraId="42D0F2E9" w14:textId="77777777" w:rsidTr="00523F0F">
        <w:trPr>
          <w:trHeight w:val="270"/>
        </w:trPr>
        <w:tc>
          <w:tcPr>
            <w:tcW w:w="1809" w:type="dxa"/>
            <w:vMerge/>
            <w:shd w:val="clear" w:color="auto" w:fill="auto"/>
          </w:tcPr>
          <w:p w14:paraId="42D0F2E2" w14:textId="77777777" w:rsidR="00CA5881" w:rsidRPr="0038447A" w:rsidRDefault="00CA5881" w:rsidP="00CA5881">
            <w:pPr>
              <w:ind w:firstLine="0"/>
              <w:jc w:val="left"/>
              <w:rPr>
                <w:rFonts w:eastAsia="Calibri" w:cs="Times New Roman"/>
                <w:sz w:val="22"/>
              </w:rPr>
            </w:pPr>
          </w:p>
        </w:tc>
        <w:tc>
          <w:tcPr>
            <w:tcW w:w="1985" w:type="dxa"/>
            <w:vMerge/>
            <w:shd w:val="clear" w:color="auto" w:fill="auto"/>
          </w:tcPr>
          <w:p w14:paraId="42D0F2E3" w14:textId="77777777" w:rsidR="00CA5881" w:rsidRPr="0038447A" w:rsidRDefault="00CA5881" w:rsidP="00CA5881">
            <w:pPr>
              <w:ind w:firstLine="0"/>
              <w:jc w:val="left"/>
              <w:rPr>
                <w:rFonts w:eastAsia="Calibri" w:cs="Times New Roman"/>
                <w:sz w:val="22"/>
              </w:rPr>
            </w:pPr>
          </w:p>
        </w:tc>
        <w:tc>
          <w:tcPr>
            <w:tcW w:w="1134" w:type="dxa"/>
            <w:shd w:val="clear" w:color="auto" w:fill="auto"/>
          </w:tcPr>
          <w:p w14:paraId="42D0F2E4"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2015.gada izpilde</w:t>
            </w:r>
          </w:p>
        </w:tc>
        <w:tc>
          <w:tcPr>
            <w:tcW w:w="1276" w:type="dxa"/>
            <w:shd w:val="clear" w:color="auto" w:fill="auto"/>
          </w:tcPr>
          <w:p w14:paraId="42D0F2E5"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2016.gada izpilde</w:t>
            </w:r>
          </w:p>
        </w:tc>
        <w:tc>
          <w:tcPr>
            <w:tcW w:w="1134" w:type="dxa"/>
            <w:shd w:val="clear" w:color="auto" w:fill="auto"/>
          </w:tcPr>
          <w:p w14:paraId="42D0F2E6"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2017.gada plāns</w:t>
            </w:r>
          </w:p>
        </w:tc>
        <w:tc>
          <w:tcPr>
            <w:tcW w:w="1134" w:type="dxa"/>
            <w:shd w:val="clear" w:color="auto" w:fill="auto"/>
          </w:tcPr>
          <w:p w14:paraId="42D0F2E7"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2018.gada plāns</w:t>
            </w:r>
          </w:p>
        </w:tc>
        <w:tc>
          <w:tcPr>
            <w:tcW w:w="1134" w:type="dxa"/>
          </w:tcPr>
          <w:p w14:paraId="42D0F2E8"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2019.gada plāns</w:t>
            </w:r>
          </w:p>
        </w:tc>
      </w:tr>
      <w:tr w:rsidR="00CA5881" w:rsidRPr="0038447A" w14:paraId="42D0F2FB" w14:textId="77777777" w:rsidTr="00523F0F">
        <w:trPr>
          <w:trHeight w:val="2112"/>
        </w:trPr>
        <w:tc>
          <w:tcPr>
            <w:tcW w:w="1809" w:type="dxa"/>
            <w:shd w:val="clear" w:color="auto" w:fill="auto"/>
          </w:tcPr>
          <w:p w14:paraId="42D0F2EA" w14:textId="77777777" w:rsidR="00CA5881" w:rsidRPr="0038447A" w:rsidRDefault="00CA5881" w:rsidP="00CA5881">
            <w:pPr>
              <w:ind w:right="-197" w:firstLine="0"/>
              <w:jc w:val="left"/>
              <w:rPr>
                <w:rFonts w:eastAsia="Calibri" w:cs="Times New Roman"/>
                <w:sz w:val="22"/>
              </w:rPr>
            </w:pPr>
            <w:r w:rsidRPr="0038447A">
              <w:rPr>
                <w:sz w:val="22"/>
              </w:rPr>
              <w:br w:type="page"/>
              <w:t>2.1.1.</w:t>
            </w:r>
            <w:r w:rsidRPr="0038447A">
              <w:rPr>
                <w:rFonts w:eastAsia="Calibri" w:cs="Times New Roman"/>
                <w:sz w:val="22"/>
              </w:rPr>
              <w:t xml:space="preserve">Nodrošināta Biroja pieņemto lēmumu likumība </w:t>
            </w:r>
          </w:p>
          <w:p w14:paraId="42D0F2EB" w14:textId="77777777" w:rsidR="00CA5881" w:rsidRPr="0038447A" w:rsidRDefault="00CA5881" w:rsidP="00CA5881">
            <w:pPr>
              <w:ind w:right="-197" w:firstLine="0"/>
              <w:jc w:val="left"/>
              <w:rPr>
                <w:rFonts w:eastAsia="Calibri" w:cs="Times New Roman"/>
                <w:sz w:val="22"/>
              </w:rPr>
            </w:pPr>
            <w:r w:rsidRPr="0038447A">
              <w:rPr>
                <w:rFonts w:eastAsia="Calibri" w:cs="Times New Roman"/>
                <w:sz w:val="22"/>
              </w:rPr>
              <w:t>un pamatotība</w:t>
            </w:r>
          </w:p>
        </w:tc>
        <w:tc>
          <w:tcPr>
            <w:tcW w:w="1985" w:type="dxa"/>
            <w:shd w:val="clear" w:color="auto" w:fill="auto"/>
          </w:tcPr>
          <w:p w14:paraId="42D0F2EC" w14:textId="77777777" w:rsidR="00CA5881" w:rsidRPr="0038447A" w:rsidRDefault="00CA5881" w:rsidP="00815425">
            <w:pPr>
              <w:ind w:right="34" w:firstLine="0"/>
              <w:jc w:val="left"/>
              <w:rPr>
                <w:rFonts w:eastAsia="Calibri" w:cs="Times New Roman"/>
                <w:sz w:val="22"/>
              </w:rPr>
            </w:pPr>
            <w:r w:rsidRPr="0038447A">
              <w:rPr>
                <w:rFonts w:eastAsia="Calibri" w:cs="Times New Roman"/>
                <w:sz w:val="22"/>
              </w:rPr>
              <w:t xml:space="preserve">2.2.1.Biroja pieņemto </w:t>
            </w:r>
          </w:p>
          <w:p w14:paraId="42D0F2ED" w14:textId="77777777" w:rsidR="00CA5881" w:rsidRPr="0038447A" w:rsidRDefault="00CA5881" w:rsidP="00815425">
            <w:pPr>
              <w:ind w:right="34" w:firstLine="0"/>
              <w:jc w:val="left"/>
              <w:rPr>
                <w:rFonts w:eastAsia="Calibri" w:cs="Times New Roman"/>
                <w:sz w:val="22"/>
              </w:rPr>
            </w:pPr>
            <w:r w:rsidRPr="0038447A">
              <w:rPr>
                <w:rFonts w:eastAsia="Calibri" w:cs="Times New Roman"/>
                <w:sz w:val="22"/>
              </w:rPr>
              <w:t xml:space="preserve">lēmumu īpatsvars </w:t>
            </w:r>
          </w:p>
          <w:p w14:paraId="42D0F2EE" w14:textId="77777777" w:rsidR="00CA5881" w:rsidRPr="0038447A" w:rsidRDefault="00CA5881" w:rsidP="00815425">
            <w:pPr>
              <w:ind w:right="34" w:firstLine="0"/>
              <w:jc w:val="left"/>
              <w:rPr>
                <w:rFonts w:eastAsia="Calibri" w:cs="Times New Roman"/>
                <w:sz w:val="22"/>
              </w:rPr>
            </w:pPr>
            <w:r w:rsidRPr="0038447A">
              <w:rPr>
                <w:rFonts w:eastAsia="Calibri" w:cs="Times New Roman"/>
                <w:sz w:val="22"/>
              </w:rPr>
              <w:t xml:space="preserve">saistībā ar administratīvajiem pārkāpumiem </w:t>
            </w:r>
          </w:p>
          <w:p w14:paraId="42D0F2EF" w14:textId="77777777" w:rsidR="00CA5881" w:rsidRPr="0038447A" w:rsidRDefault="00CA5881" w:rsidP="00815425">
            <w:pPr>
              <w:ind w:right="34" w:firstLine="0"/>
              <w:jc w:val="left"/>
              <w:rPr>
                <w:rFonts w:eastAsia="Calibri" w:cs="Times New Roman"/>
                <w:sz w:val="22"/>
              </w:rPr>
            </w:pPr>
            <w:r w:rsidRPr="0038447A">
              <w:rPr>
                <w:rFonts w:eastAsia="Calibri" w:cs="Times New Roman"/>
                <w:sz w:val="22"/>
              </w:rPr>
              <w:t xml:space="preserve">korupcijas novēršanas jomā, </w:t>
            </w:r>
          </w:p>
          <w:p w14:paraId="42D0F2F0" w14:textId="77777777" w:rsidR="00CA5881" w:rsidRPr="0038447A" w:rsidRDefault="00CA5881" w:rsidP="00815425">
            <w:pPr>
              <w:ind w:right="34" w:firstLine="0"/>
              <w:jc w:val="left"/>
              <w:rPr>
                <w:rFonts w:eastAsia="Calibri" w:cs="Times New Roman"/>
                <w:sz w:val="22"/>
              </w:rPr>
            </w:pPr>
            <w:r w:rsidRPr="0038447A">
              <w:rPr>
                <w:rFonts w:eastAsia="Calibri" w:cs="Times New Roman"/>
                <w:sz w:val="22"/>
              </w:rPr>
              <w:t>kas nav atcelti</w:t>
            </w:r>
          </w:p>
        </w:tc>
        <w:tc>
          <w:tcPr>
            <w:tcW w:w="1134" w:type="dxa"/>
            <w:shd w:val="clear" w:color="auto" w:fill="auto"/>
            <w:vAlign w:val="center"/>
          </w:tcPr>
          <w:p w14:paraId="42D0F2F1" w14:textId="77777777" w:rsidR="00CA5881" w:rsidRPr="0038447A" w:rsidRDefault="00CA5881" w:rsidP="00CA5881">
            <w:pPr>
              <w:ind w:right="-250" w:firstLine="0"/>
              <w:jc w:val="center"/>
              <w:rPr>
                <w:rFonts w:eastAsia="Calibri" w:cs="Times New Roman"/>
                <w:sz w:val="22"/>
              </w:rPr>
            </w:pPr>
          </w:p>
          <w:p w14:paraId="42D0F2F2" w14:textId="77777777" w:rsidR="00CA5881" w:rsidRPr="0038447A" w:rsidRDefault="00CA5881" w:rsidP="00CA5881">
            <w:pPr>
              <w:ind w:right="-250" w:firstLine="0"/>
              <w:jc w:val="center"/>
              <w:rPr>
                <w:rFonts w:eastAsia="Calibri" w:cs="Times New Roman"/>
                <w:sz w:val="22"/>
              </w:rPr>
            </w:pPr>
            <w:r w:rsidRPr="0038447A">
              <w:rPr>
                <w:rFonts w:eastAsia="Calibri" w:cs="Times New Roman"/>
                <w:sz w:val="22"/>
              </w:rPr>
              <w:t>100%</w:t>
            </w:r>
          </w:p>
        </w:tc>
        <w:tc>
          <w:tcPr>
            <w:tcW w:w="1276" w:type="dxa"/>
            <w:shd w:val="clear" w:color="auto" w:fill="auto"/>
            <w:vAlign w:val="center"/>
          </w:tcPr>
          <w:p w14:paraId="42D0F2F3" w14:textId="77777777" w:rsidR="00CA5881" w:rsidRPr="0038447A" w:rsidRDefault="00CA5881" w:rsidP="00CA5881">
            <w:pPr>
              <w:ind w:right="-250" w:firstLine="0"/>
              <w:jc w:val="center"/>
              <w:rPr>
                <w:rFonts w:eastAsia="Calibri" w:cs="Times New Roman"/>
                <w:sz w:val="22"/>
              </w:rPr>
            </w:pPr>
          </w:p>
          <w:p w14:paraId="42D0F2F4" w14:textId="77777777" w:rsidR="00CA5881" w:rsidRPr="0038447A" w:rsidRDefault="00CA5881" w:rsidP="00CA5881">
            <w:pPr>
              <w:ind w:right="-250" w:firstLine="0"/>
              <w:jc w:val="center"/>
              <w:rPr>
                <w:rFonts w:eastAsia="Calibri" w:cs="Times New Roman"/>
                <w:sz w:val="22"/>
              </w:rPr>
            </w:pPr>
            <w:r w:rsidRPr="0038447A">
              <w:rPr>
                <w:rFonts w:eastAsia="Calibri" w:cs="Times New Roman"/>
                <w:sz w:val="22"/>
              </w:rPr>
              <w:t>99,54%</w:t>
            </w:r>
          </w:p>
        </w:tc>
        <w:tc>
          <w:tcPr>
            <w:tcW w:w="1134" w:type="dxa"/>
            <w:shd w:val="clear" w:color="auto" w:fill="auto"/>
            <w:vAlign w:val="center"/>
          </w:tcPr>
          <w:p w14:paraId="42D0F2F5" w14:textId="77777777" w:rsidR="00CA5881" w:rsidRPr="0038447A" w:rsidRDefault="00CA5881" w:rsidP="00CA5881">
            <w:pPr>
              <w:ind w:right="-250" w:firstLine="0"/>
              <w:jc w:val="center"/>
              <w:rPr>
                <w:rFonts w:eastAsia="Calibri" w:cs="Times New Roman"/>
                <w:sz w:val="22"/>
              </w:rPr>
            </w:pPr>
          </w:p>
          <w:p w14:paraId="42D0F2F6" w14:textId="77777777" w:rsidR="00CA5881" w:rsidRPr="0038447A" w:rsidRDefault="00CA5881" w:rsidP="00842ED5">
            <w:pPr>
              <w:ind w:right="-250" w:firstLine="0"/>
              <w:jc w:val="center"/>
              <w:rPr>
                <w:rFonts w:eastAsia="Calibri" w:cs="Times New Roman"/>
                <w:sz w:val="22"/>
              </w:rPr>
            </w:pPr>
            <w:r w:rsidRPr="0038447A">
              <w:rPr>
                <w:rFonts w:eastAsia="Calibri" w:cs="Times New Roman"/>
                <w:color w:val="000000" w:themeColor="text1"/>
                <w:sz w:val="22"/>
              </w:rPr>
              <w:t>9</w:t>
            </w:r>
            <w:r w:rsidR="00842ED5">
              <w:rPr>
                <w:rFonts w:eastAsia="Calibri" w:cs="Times New Roman"/>
                <w:color w:val="000000" w:themeColor="text1"/>
                <w:sz w:val="22"/>
              </w:rPr>
              <w:t>8</w:t>
            </w:r>
            <w:r w:rsidRPr="0038447A">
              <w:rPr>
                <w:rFonts w:eastAsia="Calibri" w:cs="Times New Roman"/>
                <w:color w:val="000000" w:themeColor="text1"/>
                <w:sz w:val="22"/>
              </w:rPr>
              <w:t>%</w:t>
            </w:r>
          </w:p>
        </w:tc>
        <w:tc>
          <w:tcPr>
            <w:tcW w:w="1134" w:type="dxa"/>
            <w:shd w:val="clear" w:color="auto" w:fill="auto"/>
            <w:vAlign w:val="center"/>
          </w:tcPr>
          <w:p w14:paraId="42D0F2F7" w14:textId="77777777" w:rsidR="00CA5881" w:rsidRPr="0038447A" w:rsidRDefault="00CA5881" w:rsidP="00CA5881">
            <w:pPr>
              <w:ind w:right="-250" w:firstLine="0"/>
              <w:jc w:val="center"/>
              <w:rPr>
                <w:rFonts w:eastAsia="Calibri" w:cs="Times New Roman"/>
                <w:sz w:val="22"/>
              </w:rPr>
            </w:pPr>
          </w:p>
          <w:p w14:paraId="42D0F2F8" w14:textId="77777777" w:rsidR="00CA5881" w:rsidRPr="0038447A" w:rsidRDefault="00CA5881" w:rsidP="00842ED5">
            <w:pPr>
              <w:ind w:right="-250" w:firstLine="0"/>
              <w:jc w:val="center"/>
              <w:rPr>
                <w:rFonts w:eastAsia="Calibri" w:cs="Times New Roman"/>
                <w:sz w:val="22"/>
              </w:rPr>
            </w:pPr>
            <w:r w:rsidRPr="0038447A">
              <w:rPr>
                <w:rFonts w:eastAsia="Calibri" w:cs="Times New Roman"/>
                <w:sz w:val="22"/>
              </w:rPr>
              <w:t>9</w:t>
            </w:r>
            <w:r w:rsidR="00842ED5">
              <w:rPr>
                <w:rFonts w:eastAsia="Calibri" w:cs="Times New Roman"/>
                <w:sz w:val="22"/>
              </w:rPr>
              <w:t>8</w:t>
            </w:r>
            <w:r w:rsidRPr="0038447A">
              <w:rPr>
                <w:rFonts w:eastAsia="Calibri" w:cs="Times New Roman"/>
                <w:sz w:val="22"/>
              </w:rPr>
              <w:t>%</w:t>
            </w:r>
          </w:p>
        </w:tc>
        <w:tc>
          <w:tcPr>
            <w:tcW w:w="1134" w:type="dxa"/>
            <w:vAlign w:val="center"/>
          </w:tcPr>
          <w:p w14:paraId="42D0F2F9" w14:textId="77777777" w:rsidR="00CA5881" w:rsidRPr="0038447A" w:rsidRDefault="00CA5881" w:rsidP="00CA5881">
            <w:pPr>
              <w:ind w:right="-250" w:firstLine="0"/>
              <w:jc w:val="center"/>
              <w:rPr>
                <w:rFonts w:eastAsia="Calibri" w:cs="Times New Roman"/>
                <w:sz w:val="22"/>
              </w:rPr>
            </w:pPr>
          </w:p>
          <w:p w14:paraId="42D0F2FA" w14:textId="77777777" w:rsidR="00CA5881" w:rsidRPr="0038447A" w:rsidRDefault="00CA5881" w:rsidP="00842ED5">
            <w:pPr>
              <w:ind w:right="-250" w:firstLine="0"/>
              <w:jc w:val="center"/>
              <w:rPr>
                <w:rFonts w:eastAsia="Calibri" w:cs="Times New Roman"/>
                <w:sz w:val="22"/>
              </w:rPr>
            </w:pPr>
            <w:r w:rsidRPr="0038447A">
              <w:rPr>
                <w:rFonts w:eastAsia="Calibri" w:cs="Times New Roman"/>
                <w:sz w:val="22"/>
              </w:rPr>
              <w:t>9</w:t>
            </w:r>
            <w:r w:rsidR="00842ED5">
              <w:rPr>
                <w:rFonts w:eastAsia="Calibri" w:cs="Times New Roman"/>
                <w:sz w:val="22"/>
              </w:rPr>
              <w:t>8</w:t>
            </w:r>
            <w:r w:rsidRPr="0038447A">
              <w:rPr>
                <w:rFonts w:eastAsia="Calibri" w:cs="Times New Roman"/>
                <w:sz w:val="22"/>
              </w:rPr>
              <w:t>%</w:t>
            </w:r>
          </w:p>
        </w:tc>
      </w:tr>
      <w:tr w:rsidR="00CA5881" w:rsidRPr="0038447A" w14:paraId="42D0F303" w14:textId="77777777" w:rsidTr="00523F0F">
        <w:trPr>
          <w:trHeight w:val="1009"/>
        </w:trPr>
        <w:tc>
          <w:tcPr>
            <w:tcW w:w="1809" w:type="dxa"/>
            <w:shd w:val="clear" w:color="auto" w:fill="auto"/>
          </w:tcPr>
          <w:p w14:paraId="42D0F2FC" w14:textId="77777777" w:rsidR="00CA5881" w:rsidRPr="0038447A" w:rsidRDefault="00CA5881" w:rsidP="00CA5881">
            <w:pPr>
              <w:ind w:firstLine="0"/>
              <w:jc w:val="left"/>
              <w:rPr>
                <w:rFonts w:eastAsia="Calibri" w:cs="Times New Roman"/>
                <w:sz w:val="22"/>
              </w:rPr>
            </w:pPr>
            <w:r w:rsidRPr="0038447A">
              <w:rPr>
                <w:rFonts w:eastAsia="Calibri" w:cs="Times New Roman"/>
                <w:bCs/>
                <w:color w:val="000000"/>
                <w:sz w:val="22"/>
                <w:lang w:eastAsia="lv-LV"/>
              </w:rPr>
              <w:t>2.1.2.Konstatēti pārkāpumi interešu konfliktu novēršanas jomā</w:t>
            </w:r>
          </w:p>
        </w:tc>
        <w:tc>
          <w:tcPr>
            <w:tcW w:w="1985" w:type="dxa"/>
            <w:shd w:val="clear" w:color="auto" w:fill="auto"/>
          </w:tcPr>
          <w:p w14:paraId="42D0F2FD" w14:textId="77777777" w:rsidR="00CA5881" w:rsidRPr="0038447A" w:rsidRDefault="00CA5881" w:rsidP="00CA5881">
            <w:pPr>
              <w:ind w:firstLine="0"/>
              <w:jc w:val="left"/>
              <w:rPr>
                <w:rFonts w:eastAsia="Calibri" w:cs="Times New Roman"/>
                <w:sz w:val="22"/>
              </w:rPr>
            </w:pPr>
            <w:r w:rsidRPr="0038447A">
              <w:rPr>
                <w:rFonts w:eastAsia="Calibri"/>
                <w:sz w:val="22"/>
              </w:rPr>
              <w:t>2.2.2.Biroja pieņemtie lēmumi par Interešu konflikta likuma normu pārkāpumiem</w:t>
            </w:r>
          </w:p>
        </w:tc>
        <w:tc>
          <w:tcPr>
            <w:tcW w:w="1134" w:type="dxa"/>
            <w:shd w:val="clear" w:color="auto" w:fill="auto"/>
            <w:vAlign w:val="center"/>
          </w:tcPr>
          <w:p w14:paraId="42D0F2FE"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285</w:t>
            </w:r>
          </w:p>
        </w:tc>
        <w:tc>
          <w:tcPr>
            <w:tcW w:w="1276" w:type="dxa"/>
            <w:shd w:val="clear" w:color="auto" w:fill="auto"/>
            <w:vAlign w:val="center"/>
          </w:tcPr>
          <w:p w14:paraId="42D0F2FF"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263</w:t>
            </w:r>
          </w:p>
        </w:tc>
        <w:tc>
          <w:tcPr>
            <w:tcW w:w="1134" w:type="dxa"/>
            <w:shd w:val="clear" w:color="auto" w:fill="auto"/>
            <w:vAlign w:val="center"/>
          </w:tcPr>
          <w:p w14:paraId="42D0F300"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260</w:t>
            </w:r>
          </w:p>
        </w:tc>
        <w:tc>
          <w:tcPr>
            <w:tcW w:w="1134" w:type="dxa"/>
            <w:shd w:val="clear" w:color="auto" w:fill="auto"/>
            <w:vAlign w:val="center"/>
          </w:tcPr>
          <w:p w14:paraId="42D0F301"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255</w:t>
            </w:r>
          </w:p>
        </w:tc>
        <w:tc>
          <w:tcPr>
            <w:tcW w:w="1134" w:type="dxa"/>
            <w:vAlign w:val="center"/>
          </w:tcPr>
          <w:p w14:paraId="42D0F302"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255</w:t>
            </w:r>
          </w:p>
        </w:tc>
      </w:tr>
      <w:tr w:rsidR="00CA5881" w:rsidRPr="0038447A" w14:paraId="42D0F30B" w14:textId="77777777" w:rsidTr="00523F0F">
        <w:trPr>
          <w:trHeight w:val="1150"/>
        </w:trPr>
        <w:tc>
          <w:tcPr>
            <w:tcW w:w="1809" w:type="dxa"/>
            <w:shd w:val="clear" w:color="auto" w:fill="auto"/>
          </w:tcPr>
          <w:p w14:paraId="42D0F304" w14:textId="77777777" w:rsidR="00CA5881" w:rsidRPr="0038447A" w:rsidRDefault="00CA5881" w:rsidP="00CA5881">
            <w:pPr>
              <w:ind w:firstLine="0"/>
              <w:jc w:val="left"/>
              <w:rPr>
                <w:rFonts w:eastAsia="Calibri" w:cs="Times New Roman"/>
                <w:sz w:val="22"/>
              </w:rPr>
            </w:pPr>
            <w:r w:rsidRPr="0038447A">
              <w:rPr>
                <w:rFonts w:eastAsia="Calibri" w:cs="Times New Roman"/>
                <w:bCs/>
                <w:color w:val="000000"/>
                <w:sz w:val="22"/>
                <w:lang w:eastAsia="lv-LV"/>
              </w:rPr>
              <w:t>2.1.3.Valsts amatpersonu darbības kontrole</w:t>
            </w:r>
          </w:p>
        </w:tc>
        <w:tc>
          <w:tcPr>
            <w:tcW w:w="1985" w:type="dxa"/>
            <w:shd w:val="clear" w:color="auto" w:fill="auto"/>
          </w:tcPr>
          <w:p w14:paraId="42D0F305" w14:textId="77777777" w:rsidR="00CA5881" w:rsidRPr="0038447A" w:rsidRDefault="00CA5881" w:rsidP="00CA5881">
            <w:pPr>
              <w:ind w:firstLine="0"/>
              <w:jc w:val="left"/>
              <w:rPr>
                <w:rFonts w:eastAsia="Calibri" w:cs="Times New Roman"/>
                <w:sz w:val="22"/>
              </w:rPr>
            </w:pPr>
            <w:r w:rsidRPr="0038447A">
              <w:rPr>
                <w:rFonts w:eastAsia="Calibri" w:cs="Times New Roman"/>
                <w:sz w:val="22"/>
              </w:rPr>
              <w:t>2.2.3.Izvērtēto valsts amatpersonu deklarāciju skaits (valsts amatpersonu skaits)</w:t>
            </w:r>
          </w:p>
        </w:tc>
        <w:tc>
          <w:tcPr>
            <w:tcW w:w="1134" w:type="dxa"/>
            <w:shd w:val="clear" w:color="auto" w:fill="auto"/>
            <w:vAlign w:val="center"/>
          </w:tcPr>
          <w:p w14:paraId="42D0F306"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948</w:t>
            </w:r>
          </w:p>
        </w:tc>
        <w:tc>
          <w:tcPr>
            <w:tcW w:w="1276" w:type="dxa"/>
            <w:shd w:val="clear" w:color="auto" w:fill="auto"/>
            <w:vAlign w:val="center"/>
          </w:tcPr>
          <w:p w14:paraId="42D0F307"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872</w:t>
            </w:r>
          </w:p>
        </w:tc>
        <w:tc>
          <w:tcPr>
            <w:tcW w:w="1134" w:type="dxa"/>
            <w:shd w:val="clear" w:color="auto" w:fill="auto"/>
            <w:vAlign w:val="center"/>
          </w:tcPr>
          <w:p w14:paraId="42D0F308"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950</w:t>
            </w:r>
          </w:p>
        </w:tc>
        <w:tc>
          <w:tcPr>
            <w:tcW w:w="1134" w:type="dxa"/>
            <w:shd w:val="clear" w:color="auto" w:fill="auto"/>
            <w:vAlign w:val="center"/>
          </w:tcPr>
          <w:p w14:paraId="42D0F309"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950</w:t>
            </w:r>
          </w:p>
        </w:tc>
        <w:tc>
          <w:tcPr>
            <w:tcW w:w="1134" w:type="dxa"/>
            <w:vAlign w:val="center"/>
          </w:tcPr>
          <w:p w14:paraId="42D0F30A" w14:textId="77777777" w:rsidR="00CA5881" w:rsidRPr="0038447A" w:rsidRDefault="00CA5881" w:rsidP="00CA5881">
            <w:pPr>
              <w:ind w:firstLine="0"/>
              <w:jc w:val="center"/>
              <w:rPr>
                <w:rFonts w:eastAsia="Calibri" w:cs="Times New Roman"/>
                <w:sz w:val="22"/>
              </w:rPr>
            </w:pPr>
            <w:r w:rsidRPr="0038447A">
              <w:rPr>
                <w:rFonts w:eastAsia="Calibri" w:cs="Times New Roman"/>
                <w:sz w:val="22"/>
              </w:rPr>
              <w:t>950</w:t>
            </w:r>
          </w:p>
        </w:tc>
      </w:tr>
    </w:tbl>
    <w:p w14:paraId="42D0F30C" w14:textId="77777777" w:rsidR="007E68E1" w:rsidRPr="007E68E1" w:rsidRDefault="007E68E1" w:rsidP="007E68E1">
      <w:pPr>
        <w:pStyle w:val="NoSpacing"/>
        <w:rPr>
          <w:b w:val="0"/>
          <w:sz w:val="24"/>
          <w:szCs w:val="24"/>
        </w:rPr>
      </w:pPr>
    </w:p>
    <w:p w14:paraId="42D0F30D" w14:textId="77777777" w:rsidR="00CA5881" w:rsidRPr="0038447A" w:rsidRDefault="00CA5881" w:rsidP="00CA5881">
      <w:pPr>
        <w:spacing w:after="200" w:line="276" w:lineRule="auto"/>
        <w:ind w:firstLine="0"/>
        <w:jc w:val="left"/>
        <w:rPr>
          <w:b/>
          <w:sz w:val="26"/>
          <w:szCs w:val="26"/>
          <w:u w:val="single"/>
        </w:rPr>
      </w:pPr>
      <w:r w:rsidRPr="0038447A">
        <w:rPr>
          <w:b/>
          <w:sz w:val="26"/>
          <w:szCs w:val="26"/>
          <w:u w:val="single"/>
        </w:rPr>
        <w:t>Uzdevumi darbības virziena īstenošanai:</w:t>
      </w:r>
    </w:p>
    <w:p w14:paraId="42D0F30E" w14:textId="77777777" w:rsidR="00BB0D34" w:rsidRPr="0038447A" w:rsidRDefault="00BB0D34" w:rsidP="00A82477">
      <w:pPr>
        <w:ind w:left="284" w:hanging="284"/>
        <w:rPr>
          <w:rFonts w:eastAsia="Times New Roman" w:cs="Times New Roman"/>
          <w:bCs/>
          <w:sz w:val="26"/>
          <w:szCs w:val="26"/>
          <w:lang w:eastAsia="lv-LV"/>
        </w:rPr>
      </w:pPr>
      <w:r w:rsidRPr="0038447A">
        <w:rPr>
          <w:rFonts w:eastAsia="Times New Roman" w:cs="Times New Roman"/>
          <w:bCs/>
          <w:sz w:val="26"/>
          <w:szCs w:val="26"/>
          <w:lang w:eastAsia="lv-LV"/>
        </w:rPr>
        <w:t>1)</w:t>
      </w:r>
      <w:r w:rsidRPr="0038447A">
        <w:rPr>
          <w:rFonts w:eastAsia="Times New Roman" w:cs="Times New Roman"/>
          <w:bCs/>
          <w:sz w:val="26"/>
          <w:szCs w:val="26"/>
          <w:lang w:eastAsia="lv-LV"/>
        </w:rPr>
        <w:tab/>
      </w:r>
      <w:r w:rsidR="009F65B7">
        <w:rPr>
          <w:rFonts w:eastAsia="Times New Roman" w:cs="Times New Roman"/>
          <w:bCs/>
          <w:sz w:val="26"/>
          <w:szCs w:val="26"/>
          <w:lang w:eastAsia="lv-LV"/>
        </w:rPr>
        <w:t>atbilstoši Biroja noteiktajām prioritātēm</w:t>
      </w:r>
      <w:r w:rsidR="002316A0">
        <w:rPr>
          <w:rFonts w:eastAsia="Times New Roman" w:cs="Times New Roman"/>
          <w:bCs/>
          <w:sz w:val="26"/>
          <w:szCs w:val="26"/>
          <w:lang w:eastAsia="lv-LV"/>
        </w:rPr>
        <w:t>,</w:t>
      </w:r>
      <w:r w:rsidR="009F65B7">
        <w:rPr>
          <w:rFonts w:eastAsia="Times New Roman" w:cs="Times New Roman"/>
          <w:bCs/>
          <w:sz w:val="26"/>
          <w:szCs w:val="26"/>
          <w:lang w:eastAsia="lv-LV"/>
        </w:rPr>
        <w:t xml:space="preserve"> </w:t>
      </w:r>
      <w:r w:rsidR="00EF7FFE">
        <w:rPr>
          <w:rFonts w:eastAsia="Times New Roman" w:cs="Times New Roman"/>
          <w:bCs/>
          <w:sz w:val="26"/>
          <w:szCs w:val="26"/>
          <w:lang w:eastAsia="lv-LV"/>
        </w:rPr>
        <w:t>apstrādāt</w:t>
      </w:r>
      <w:r w:rsidRPr="0038447A">
        <w:rPr>
          <w:rFonts w:eastAsia="Times New Roman" w:cs="Times New Roman"/>
          <w:bCs/>
          <w:sz w:val="26"/>
          <w:szCs w:val="26"/>
          <w:lang w:eastAsia="lv-LV"/>
        </w:rPr>
        <w:t xml:space="preserve"> un </w:t>
      </w:r>
      <w:r w:rsidR="00EF7FFE" w:rsidRPr="0038447A">
        <w:rPr>
          <w:rFonts w:eastAsia="Times New Roman" w:cs="Times New Roman"/>
          <w:bCs/>
          <w:sz w:val="26"/>
          <w:szCs w:val="26"/>
          <w:lang w:eastAsia="lv-LV"/>
        </w:rPr>
        <w:t>analizē</w:t>
      </w:r>
      <w:r w:rsidR="00EF7FFE">
        <w:rPr>
          <w:rFonts w:eastAsia="Times New Roman" w:cs="Times New Roman"/>
          <w:bCs/>
          <w:sz w:val="26"/>
          <w:szCs w:val="26"/>
          <w:lang w:eastAsia="lv-LV"/>
        </w:rPr>
        <w:t>t informāciju</w:t>
      </w:r>
      <w:r w:rsidRPr="0038447A">
        <w:rPr>
          <w:rFonts w:eastAsia="Times New Roman" w:cs="Times New Roman"/>
          <w:bCs/>
          <w:sz w:val="26"/>
          <w:szCs w:val="26"/>
          <w:lang w:eastAsia="lv-LV"/>
        </w:rPr>
        <w:t>,</w:t>
      </w:r>
      <w:r w:rsidR="00EF7FFE">
        <w:t xml:space="preserve"> </w:t>
      </w:r>
      <w:r w:rsidR="00EF7FFE" w:rsidRPr="00EF7FFE">
        <w:rPr>
          <w:rFonts w:eastAsia="Times New Roman" w:cs="Times New Roman"/>
          <w:bCs/>
          <w:sz w:val="26"/>
          <w:szCs w:val="26"/>
          <w:lang w:eastAsia="lv-LV"/>
        </w:rPr>
        <w:t xml:space="preserve">kas ir saistīta ar valsts amatpersonu </w:t>
      </w:r>
      <w:r w:rsidR="00EF7FFE">
        <w:rPr>
          <w:rFonts w:eastAsia="Times New Roman" w:cs="Times New Roman"/>
          <w:bCs/>
          <w:sz w:val="26"/>
          <w:szCs w:val="26"/>
          <w:lang w:eastAsia="lv-LV"/>
        </w:rPr>
        <w:t xml:space="preserve">darbības </w:t>
      </w:r>
      <w:r w:rsidR="00EF7FFE" w:rsidRPr="00EF7FFE">
        <w:rPr>
          <w:rFonts w:eastAsia="Times New Roman" w:cs="Times New Roman"/>
          <w:bCs/>
          <w:sz w:val="26"/>
          <w:szCs w:val="26"/>
          <w:lang w:eastAsia="lv-LV"/>
        </w:rPr>
        <w:t>kontroli</w:t>
      </w:r>
      <w:r w:rsidR="00EF7FFE">
        <w:rPr>
          <w:rFonts w:eastAsia="Times New Roman" w:cs="Times New Roman"/>
          <w:bCs/>
          <w:sz w:val="26"/>
          <w:szCs w:val="26"/>
          <w:lang w:eastAsia="lv-LV"/>
        </w:rPr>
        <w:t>,</w:t>
      </w:r>
      <w:r w:rsidRPr="0038447A">
        <w:rPr>
          <w:rFonts w:eastAsia="Times New Roman" w:cs="Times New Roman"/>
          <w:bCs/>
          <w:sz w:val="26"/>
          <w:szCs w:val="26"/>
          <w:lang w:eastAsia="lv-LV"/>
        </w:rPr>
        <w:t xml:space="preserve"> </w:t>
      </w:r>
      <w:r w:rsidR="00A616EF">
        <w:rPr>
          <w:rFonts w:eastAsia="Times New Roman" w:cs="Times New Roman"/>
          <w:bCs/>
          <w:sz w:val="26"/>
          <w:szCs w:val="26"/>
          <w:lang w:eastAsia="lv-LV"/>
        </w:rPr>
        <w:t xml:space="preserve">identificējot un </w:t>
      </w:r>
      <w:r w:rsidR="009F65B7">
        <w:rPr>
          <w:rFonts w:eastAsia="Times New Roman" w:cs="Times New Roman"/>
          <w:bCs/>
          <w:sz w:val="26"/>
          <w:szCs w:val="26"/>
          <w:lang w:eastAsia="lv-LV"/>
        </w:rPr>
        <w:t xml:space="preserve">vērtējot </w:t>
      </w:r>
      <w:r w:rsidR="00A616EF">
        <w:rPr>
          <w:rFonts w:eastAsia="Times New Roman" w:cs="Times New Roman"/>
          <w:bCs/>
          <w:sz w:val="26"/>
          <w:szCs w:val="26"/>
          <w:lang w:eastAsia="lv-LV"/>
        </w:rPr>
        <w:t xml:space="preserve">tos </w:t>
      </w:r>
      <w:r w:rsidRPr="0038447A">
        <w:rPr>
          <w:rFonts w:eastAsia="Times New Roman" w:cs="Times New Roman"/>
          <w:bCs/>
          <w:sz w:val="26"/>
          <w:szCs w:val="26"/>
          <w:lang w:eastAsia="lv-LV"/>
        </w:rPr>
        <w:t>pārkāpum</w:t>
      </w:r>
      <w:r w:rsidR="009F65B7">
        <w:rPr>
          <w:rFonts w:eastAsia="Times New Roman" w:cs="Times New Roman"/>
          <w:bCs/>
          <w:sz w:val="26"/>
          <w:szCs w:val="26"/>
          <w:lang w:eastAsia="lv-LV"/>
        </w:rPr>
        <w:t>us</w:t>
      </w:r>
      <w:r w:rsidRPr="0038447A">
        <w:rPr>
          <w:rFonts w:eastAsia="Times New Roman" w:cs="Times New Roman"/>
          <w:bCs/>
          <w:sz w:val="26"/>
          <w:szCs w:val="26"/>
          <w:lang w:eastAsia="lv-LV"/>
        </w:rPr>
        <w:t>, kas nodara būtisku kaitējumu demokrātiskai valsts iekārtai un sabiedrības interesēm;</w:t>
      </w:r>
    </w:p>
    <w:p w14:paraId="42D0F30F" w14:textId="77777777" w:rsidR="00A82477" w:rsidRPr="0038447A" w:rsidRDefault="00BB0D34" w:rsidP="00A82477">
      <w:pPr>
        <w:ind w:left="284" w:hanging="284"/>
        <w:rPr>
          <w:rFonts w:eastAsia="Times New Roman" w:cs="Times New Roman"/>
          <w:bCs/>
          <w:sz w:val="26"/>
          <w:szCs w:val="26"/>
          <w:lang w:eastAsia="lv-LV"/>
        </w:rPr>
      </w:pPr>
      <w:r w:rsidRPr="0038447A">
        <w:rPr>
          <w:rFonts w:eastAsia="Times New Roman" w:cs="Times New Roman"/>
          <w:bCs/>
          <w:sz w:val="26"/>
          <w:szCs w:val="26"/>
          <w:lang w:eastAsia="lv-LV"/>
        </w:rPr>
        <w:t>2</w:t>
      </w:r>
      <w:r w:rsidR="00A82477" w:rsidRPr="0038447A">
        <w:rPr>
          <w:rFonts w:eastAsia="Times New Roman" w:cs="Times New Roman"/>
          <w:bCs/>
          <w:sz w:val="26"/>
          <w:szCs w:val="26"/>
          <w:lang w:eastAsia="lv-LV"/>
        </w:rPr>
        <w:t>)</w:t>
      </w:r>
      <w:r w:rsidR="00A82477" w:rsidRPr="0038447A">
        <w:rPr>
          <w:rFonts w:eastAsia="Times New Roman" w:cs="Times New Roman"/>
          <w:bCs/>
          <w:sz w:val="26"/>
          <w:szCs w:val="26"/>
          <w:lang w:eastAsia="lv-LV"/>
        </w:rPr>
        <w:tab/>
        <w:t>sadarbībā ar VID izvērtēt valsts amatpersonu deklarēšanās sistēmas darbību, izstrādājot rezultatīvos rādītājus, lai būtu iespējams novērtēt tās efektivitā</w:t>
      </w:r>
      <w:r w:rsidR="00C60CC9" w:rsidRPr="0038447A">
        <w:rPr>
          <w:rFonts w:eastAsia="Times New Roman" w:cs="Times New Roman"/>
          <w:bCs/>
          <w:sz w:val="26"/>
          <w:szCs w:val="26"/>
          <w:lang w:eastAsia="lv-LV"/>
        </w:rPr>
        <w:t>ti</w:t>
      </w:r>
      <w:r w:rsidR="00A82477" w:rsidRPr="0038447A">
        <w:rPr>
          <w:rFonts w:eastAsia="Times New Roman" w:cs="Times New Roman"/>
          <w:bCs/>
          <w:sz w:val="26"/>
          <w:szCs w:val="26"/>
          <w:lang w:eastAsia="lv-LV"/>
        </w:rPr>
        <w:t>;</w:t>
      </w:r>
    </w:p>
    <w:p w14:paraId="42D0F310" w14:textId="77777777" w:rsidR="00A82477" w:rsidRPr="0038447A" w:rsidRDefault="00A616EF" w:rsidP="00A82477">
      <w:pPr>
        <w:ind w:left="284" w:hanging="284"/>
        <w:rPr>
          <w:rFonts w:eastAsia="Times New Roman" w:cs="Times New Roman"/>
          <w:bCs/>
          <w:sz w:val="26"/>
          <w:szCs w:val="26"/>
          <w:lang w:eastAsia="lv-LV"/>
        </w:rPr>
      </w:pPr>
      <w:r>
        <w:rPr>
          <w:rFonts w:eastAsia="Times New Roman" w:cs="Times New Roman"/>
          <w:bCs/>
          <w:sz w:val="26"/>
          <w:szCs w:val="26"/>
          <w:lang w:eastAsia="lv-LV"/>
        </w:rPr>
        <w:t>3</w:t>
      </w:r>
      <w:r w:rsidR="00A82477" w:rsidRPr="0038447A">
        <w:rPr>
          <w:rFonts w:eastAsia="Times New Roman" w:cs="Times New Roman"/>
          <w:bCs/>
          <w:sz w:val="26"/>
          <w:szCs w:val="26"/>
          <w:lang w:eastAsia="lv-LV"/>
        </w:rPr>
        <w:t>)</w:t>
      </w:r>
      <w:r w:rsidR="00A82477" w:rsidRPr="0038447A">
        <w:rPr>
          <w:rFonts w:eastAsia="Times New Roman" w:cs="Times New Roman"/>
          <w:bCs/>
          <w:sz w:val="26"/>
          <w:szCs w:val="26"/>
          <w:lang w:eastAsia="lv-LV"/>
        </w:rPr>
        <w:tab/>
        <w:t xml:space="preserve">izstrādāt un ieviest nepieciešamo pasākumu </w:t>
      </w:r>
      <w:r w:rsidR="00280C27">
        <w:rPr>
          <w:rFonts w:eastAsia="Times New Roman" w:cs="Times New Roman"/>
          <w:bCs/>
          <w:sz w:val="26"/>
          <w:szCs w:val="26"/>
          <w:lang w:eastAsia="lv-LV"/>
        </w:rPr>
        <w:t xml:space="preserve">kopumu, </w:t>
      </w:r>
      <w:r w:rsidR="00A82477" w:rsidRPr="0038447A">
        <w:rPr>
          <w:rFonts w:eastAsia="Times New Roman" w:cs="Times New Roman"/>
          <w:bCs/>
          <w:sz w:val="26"/>
          <w:szCs w:val="26"/>
          <w:lang w:eastAsia="lv-LV"/>
        </w:rPr>
        <w:t>lai pārorientētu valsts amatpersonu interešu konflikta novēršanu un valsts amatpersonām noteikto ierobežojumu un aizliegumu kontroli no ārējās kontroles uz institūcijas iekšējo kontroli, risinot jautājumu par publiskas personas institūciju vadītāju pilnvaru (kompetences)</w:t>
      </w:r>
      <w:r w:rsidR="00280C27">
        <w:rPr>
          <w:rFonts w:eastAsia="Times New Roman" w:cs="Times New Roman"/>
          <w:bCs/>
          <w:sz w:val="26"/>
          <w:szCs w:val="26"/>
          <w:lang w:eastAsia="lv-LV"/>
        </w:rPr>
        <w:t xml:space="preserve"> un atbildības</w:t>
      </w:r>
      <w:r w:rsidR="00A82477" w:rsidRPr="0038447A">
        <w:rPr>
          <w:rFonts w:eastAsia="Times New Roman" w:cs="Times New Roman"/>
          <w:bCs/>
          <w:sz w:val="26"/>
          <w:szCs w:val="26"/>
          <w:lang w:eastAsia="lv-LV"/>
        </w:rPr>
        <w:t xml:space="preserve"> paplašināša</w:t>
      </w:r>
      <w:r w:rsidR="00280C27">
        <w:rPr>
          <w:rFonts w:eastAsia="Times New Roman" w:cs="Times New Roman"/>
          <w:bCs/>
          <w:sz w:val="26"/>
          <w:szCs w:val="26"/>
          <w:lang w:eastAsia="lv-LV"/>
        </w:rPr>
        <w:t>nu interešu konflikta novēršanā</w:t>
      </w:r>
      <w:r w:rsidR="00A82477" w:rsidRPr="0038447A">
        <w:rPr>
          <w:rFonts w:eastAsia="Times New Roman" w:cs="Times New Roman"/>
          <w:bCs/>
          <w:sz w:val="26"/>
          <w:szCs w:val="26"/>
          <w:lang w:eastAsia="lv-LV"/>
        </w:rPr>
        <w:t xml:space="preserve">. </w:t>
      </w:r>
    </w:p>
    <w:p w14:paraId="42D0F311" w14:textId="77777777" w:rsidR="00CA5881" w:rsidRPr="0038447A" w:rsidRDefault="00CA5881" w:rsidP="00CA5881">
      <w:pPr>
        <w:ind w:left="284" w:hanging="284"/>
        <w:rPr>
          <w:rFonts w:eastAsia="Times New Roman" w:cs="Times New Roman"/>
          <w:sz w:val="26"/>
          <w:szCs w:val="26"/>
          <w:lang w:eastAsia="lv-LV"/>
        </w:rPr>
      </w:pPr>
    </w:p>
    <w:p w14:paraId="42D0F312" w14:textId="77777777" w:rsidR="00CA5881" w:rsidRPr="0038447A" w:rsidRDefault="00CA5881" w:rsidP="00F47FAD">
      <w:pPr>
        <w:spacing w:after="240"/>
        <w:ind w:firstLine="0"/>
        <w:rPr>
          <w:b/>
          <w:sz w:val="26"/>
          <w:szCs w:val="26"/>
          <w:u w:val="single"/>
        </w:rPr>
      </w:pPr>
      <w:r w:rsidRPr="0038447A">
        <w:rPr>
          <w:b/>
          <w:sz w:val="26"/>
          <w:szCs w:val="26"/>
          <w:u w:val="single"/>
        </w:rPr>
        <w:t>Iesaistītās iestādes:</w:t>
      </w:r>
    </w:p>
    <w:p w14:paraId="42D0F313" w14:textId="77777777" w:rsidR="00CA5881" w:rsidRPr="0038447A" w:rsidRDefault="00CA5881" w:rsidP="00CA5881">
      <w:pPr>
        <w:rPr>
          <w:sz w:val="26"/>
          <w:szCs w:val="26"/>
        </w:rPr>
      </w:pPr>
      <w:r w:rsidRPr="0038447A">
        <w:rPr>
          <w:sz w:val="26"/>
          <w:szCs w:val="26"/>
        </w:rPr>
        <w:t>VID</w:t>
      </w:r>
    </w:p>
    <w:p w14:paraId="42D0F314" w14:textId="77777777" w:rsidR="001517B5" w:rsidRDefault="001517B5" w:rsidP="002B1EE1">
      <w:pPr>
        <w:pStyle w:val="NoSpacing"/>
        <w:rPr>
          <w:sz w:val="26"/>
          <w:szCs w:val="26"/>
        </w:rPr>
      </w:pPr>
    </w:p>
    <w:p w14:paraId="42D0F315" w14:textId="77777777" w:rsidR="001517B5" w:rsidRDefault="001517B5" w:rsidP="001517B5">
      <w:pPr>
        <w:pStyle w:val="NoSpacing"/>
      </w:pPr>
      <w:r>
        <w:br w:type="page"/>
      </w:r>
    </w:p>
    <w:p w14:paraId="42D0F316" w14:textId="77777777" w:rsidR="009A58F6" w:rsidRPr="0038447A" w:rsidRDefault="009A58F6" w:rsidP="001E1D49">
      <w:pPr>
        <w:pStyle w:val="Heading2"/>
        <w:numPr>
          <w:ilvl w:val="2"/>
          <w:numId w:val="29"/>
        </w:numPr>
        <w:ind w:left="0" w:firstLine="0"/>
        <w:rPr>
          <w:sz w:val="26"/>
        </w:rPr>
      </w:pPr>
      <w:bookmarkStart w:id="10" w:name="_Toc500150885"/>
      <w:r w:rsidRPr="0038447A">
        <w:rPr>
          <w:sz w:val="26"/>
        </w:rPr>
        <w:lastRenderedPageBreak/>
        <w:t>Politisko partiju finansēšanas kontrole un aģitācijas uzraudzība</w:t>
      </w:r>
      <w:bookmarkEnd w:id="10"/>
    </w:p>
    <w:p w14:paraId="42D0F317" w14:textId="77777777" w:rsidR="009A58F6" w:rsidRPr="0038447A" w:rsidRDefault="009A58F6" w:rsidP="009A58F6">
      <w:pPr>
        <w:spacing w:after="200" w:line="276" w:lineRule="auto"/>
        <w:ind w:firstLine="0"/>
        <w:jc w:val="left"/>
        <w:rPr>
          <w:b/>
          <w:sz w:val="26"/>
          <w:szCs w:val="26"/>
          <w:u w:val="single"/>
        </w:rPr>
      </w:pPr>
      <w:bookmarkStart w:id="11" w:name="p9.1"/>
      <w:bookmarkStart w:id="12" w:name="p-291689"/>
      <w:bookmarkEnd w:id="11"/>
      <w:bookmarkEnd w:id="12"/>
      <w:r w:rsidRPr="0038447A">
        <w:rPr>
          <w:b/>
          <w:sz w:val="26"/>
          <w:szCs w:val="26"/>
          <w:u w:val="single"/>
        </w:rPr>
        <w:t xml:space="preserve">Esošās situācijas apraksts: </w:t>
      </w:r>
    </w:p>
    <w:p w14:paraId="42D0F318" w14:textId="77777777" w:rsidR="009A58F6" w:rsidRPr="0038447A" w:rsidRDefault="00017CF4" w:rsidP="009A58F6">
      <w:pPr>
        <w:rPr>
          <w:rFonts w:eastAsia="Times New Roman" w:cs="Times New Roman"/>
          <w:color w:val="000000" w:themeColor="text1"/>
          <w:sz w:val="26"/>
          <w:szCs w:val="26"/>
          <w:lang w:eastAsia="lv-LV"/>
        </w:rPr>
      </w:pPr>
      <w:r w:rsidRPr="0038447A">
        <w:rPr>
          <w:rFonts w:eastAsia="Times New Roman" w:cs="Times New Roman"/>
          <w:color w:val="000000" w:themeColor="text1"/>
          <w:sz w:val="26"/>
          <w:szCs w:val="26"/>
          <w:lang w:eastAsia="lv-LV"/>
        </w:rPr>
        <w:t>Birojs kontrolē politisko organizāciju (partiju) un to apvienību (turpmāk – politiskās partijas) finansēšanas noteikumu izpildi un pārbauda, kā tiek ievēroti ierobežojumi, kas noteikti priekšvēlēšanu aģitācijai, aģitācijai pirms tautas nobalsošanas, aģitācijai par likuma ierosināšanu un aģitācijai par Saeimas atsaukšanas ierosināšanu</w:t>
      </w:r>
      <w:r w:rsidR="009A58F6" w:rsidRPr="0038447A">
        <w:rPr>
          <w:rFonts w:eastAsia="Times New Roman" w:cs="Times New Roman"/>
          <w:color w:val="000000" w:themeColor="text1"/>
          <w:sz w:val="26"/>
          <w:szCs w:val="26"/>
          <w:lang w:eastAsia="lv-LV"/>
        </w:rPr>
        <w:t>.</w:t>
      </w:r>
    </w:p>
    <w:p w14:paraId="42D0F319" w14:textId="77777777" w:rsidR="004D73B9" w:rsidRDefault="00017CF4" w:rsidP="009A58F6">
      <w:pPr>
        <w:rPr>
          <w:rFonts w:eastAsia="Times New Roman" w:cs="Times New Roman"/>
          <w:color w:val="000000" w:themeColor="text1"/>
          <w:sz w:val="26"/>
          <w:szCs w:val="26"/>
          <w:lang w:eastAsia="lv-LV"/>
        </w:rPr>
      </w:pPr>
      <w:r w:rsidRPr="0038447A">
        <w:rPr>
          <w:rFonts w:eastAsia="Times New Roman" w:cs="Times New Roman"/>
          <w:color w:val="000000" w:themeColor="text1"/>
          <w:sz w:val="26"/>
          <w:szCs w:val="26"/>
          <w:lang w:eastAsia="lv-LV"/>
        </w:rPr>
        <w:t>Politisko organizāciju (partiju) finansēšanas likums (turpmāk – Finansēšanas likums) nosaka politisko partiju finansiālās darbības atklātumu, likumību un atbilstību parlamentārās demokrātijas sistēmai. Finansēšanas likums nosaka politisko partiju finansēšanas avotus, finansēšanas ierobežojumus un aizliegumus, ka arī atklātuma prasības. Lai palielinātu politisko partiju administratīvo spēju</w:t>
      </w:r>
      <w:r w:rsidR="00FA2FAC">
        <w:rPr>
          <w:rFonts w:eastAsia="Times New Roman" w:cs="Times New Roman"/>
          <w:color w:val="000000" w:themeColor="text1"/>
          <w:sz w:val="26"/>
          <w:szCs w:val="26"/>
          <w:lang w:eastAsia="lv-LV"/>
        </w:rPr>
        <w:t>,</w:t>
      </w:r>
      <w:r w:rsidRPr="0038447A">
        <w:rPr>
          <w:rFonts w:eastAsia="Times New Roman" w:cs="Times New Roman"/>
          <w:color w:val="000000" w:themeColor="text1"/>
          <w:sz w:val="26"/>
          <w:szCs w:val="26"/>
          <w:lang w:eastAsia="lv-LV"/>
        </w:rPr>
        <w:t xml:space="preserve"> politisk</w:t>
      </w:r>
      <w:r w:rsidR="00FA2FAC">
        <w:rPr>
          <w:rFonts w:eastAsia="Times New Roman" w:cs="Times New Roman"/>
          <w:color w:val="000000" w:themeColor="text1"/>
          <w:sz w:val="26"/>
          <w:szCs w:val="26"/>
          <w:lang w:eastAsia="lv-LV"/>
        </w:rPr>
        <w:t>aj</w:t>
      </w:r>
      <w:r w:rsidRPr="0038447A">
        <w:rPr>
          <w:rFonts w:eastAsia="Times New Roman" w:cs="Times New Roman"/>
          <w:color w:val="000000" w:themeColor="text1"/>
          <w:sz w:val="26"/>
          <w:szCs w:val="26"/>
          <w:lang w:eastAsia="lv-LV"/>
        </w:rPr>
        <w:t>ām partijām</w:t>
      </w:r>
      <w:r w:rsidR="00042D25">
        <w:rPr>
          <w:rFonts w:eastAsia="Times New Roman" w:cs="Times New Roman"/>
          <w:color w:val="000000" w:themeColor="text1"/>
          <w:sz w:val="26"/>
          <w:szCs w:val="26"/>
          <w:lang w:eastAsia="lv-LV"/>
        </w:rPr>
        <w:t>, sākot</w:t>
      </w:r>
      <w:r w:rsidRPr="0038447A">
        <w:rPr>
          <w:rFonts w:eastAsia="Times New Roman" w:cs="Times New Roman"/>
          <w:color w:val="000000" w:themeColor="text1"/>
          <w:sz w:val="26"/>
          <w:szCs w:val="26"/>
          <w:lang w:eastAsia="lv-LV"/>
        </w:rPr>
        <w:t xml:space="preserve"> ar 2012.gada 1.janvāri piešķir arī valsts finansējumu, lai tās spētu segt savas administratīvās izmaksas un kļūtu profesionālākas. Gan valsts budžeta finansējuma izmaksāšanu, gan piešķirtās budžeta naudas izlietojuma atbilstību Finansēšanas likuma</w:t>
      </w:r>
      <w:r w:rsidR="004D73B9" w:rsidRPr="004D73B9">
        <w:rPr>
          <w:rFonts w:eastAsia="Times New Roman" w:cs="Times New Roman"/>
          <w:color w:val="000000" w:themeColor="text1"/>
          <w:sz w:val="26"/>
          <w:szCs w:val="26"/>
          <w:lang w:eastAsia="lv-LV"/>
        </w:rPr>
        <w:t xml:space="preserve"> </w:t>
      </w:r>
      <w:r w:rsidR="004D73B9" w:rsidRPr="0038447A">
        <w:rPr>
          <w:rFonts w:eastAsia="Times New Roman" w:cs="Times New Roman"/>
          <w:color w:val="000000" w:themeColor="text1"/>
          <w:sz w:val="26"/>
          <w:szCs w:val="26"/>
          <w:lang w:eastAsia="lv-LV"/>
        </w:rPr>
        <w:t>prasībām kontrolē Birojs</w:t>
      </w:r>
      <w:r w:rsidR="004D73B9">
        <w:rPr>
          <w:rFonts w:eastAsia="Times New Roman" w:cs="Times New Roman"/>
          <w:color w:val="000000" w:themeColor="text1"/>
          <w:sz w:val="26"/>
          <w:szCs w:val="26"/>
          <w:lang w:eastAsia="lv-LV"/>
        </w:rPr>
        <w:t>.</w:t>
      </w:r>
    </w:p>
    <w:p w14:paraId="42D0F31A" w14:textId="77777777" w:rsidR="006866A7" w:rsidRPr="0038447A" w:rsidRDefault="006866A7" w:rsidP="006866A7">
      <w:pPr>
        <w:rPr>
          <w:sz w:val="26"/>
          <w:szCs w:val="26"/>
        </w:rPr>
      </w:pPr>
      <w:r w:rsidRPr="0038447A">
        <w:rPr>
          <w:sz w:val="26"/>
          <w:szCs w:val="26"/>
        </w:rPr>
        <w:t xml:space="preserve">Birojs </w:t>
      </w:r>
      <w:r w:rsidR="008138DE" w:rsidRPr="0038447A">
        <w:rPr>
          <w:sz w:val="26"/>
          <w:szCs w:val="26"/>
        </w:rPr>
        <w:t>darbojas</w:t>
      </w:r>
      <w:r w:rsidRPr="0038447A">
        <w:rPr>
          <w:sz w:val="26"/>
          <w:szCs w:val="26"/>
        </w:rPr>
        <w:t xml:space="preserve"> kā eksperts Priekšvēlēšanu aģitācijas regulējuma pilnveidošanas procesā, piedalījies darba grupās un </w:t>
      </w:r>
      <w:r w:rsidR="006536E8" w:rsidRPr="0038447A">
        <w:rPr>
          <w:sz w:val="26"/>
          <w:szCs w:val="26"/>
        </w:rPr>
        <w:t>attiecīgajās Saeimas komisijas sēdēs</w:t>
      </w:r>
      <w:r w:rsidRPr="0038447A">
        <w:rPr>
          <w:sz w:val="26"/>
          <w:szCs w:val="26"/>
        </w:rPr>
        <w:t>. Pēdējie būtiskie grozījumi Priekšvēlēšanu aģitācijas likumā tika pieņemti 2016.gad</w:t>
      </w:r>
      <w:r w:rsidR="003F1F02" w:rsidRPr="0038447A">
        <w:rPr>
          <w:sz w:val="26"/>
          <w:szCs w:val="26"/>
        </w:rPr>
        <w:t>a 16.jūnijā</w:t>
      </w:r>
      <w:r w:rsidRPr="0038447A">
        <w:rPr>
          <w:sz w:val="26"/>
          <w:szCs w:val="26"/>
        </w:rPr>
        <w:t xml:space="preserve"> un stājās spēkā 2016.gada 15.jūlijā</w:t>
      </w:r>
      <w:r w:rsidR="000022A6">
        <w:rPr>
          <w:rStyle w:val="FootnoteReference"/>
          <w:sz w:val="26"/>
          <w:szCs w:val="26"/>
        </w:rPr>
        <w:footnoteReference w:id="14"/>
      </w:r>
      <w:r w:rsidR="00904160">
        <w:rPr>
          <w:sz w:val="26"/>
          <w:szCs w:val="26"/>
        </w:rPr>
        <w:t>.</w:t>
      </w:r>
      <w:r w:rsidRPr="0038447A">
        <w:rPr>
          <w:sz w:val="26"/>
          <w:szCs w:val="26"/>
        </w:rPr>
        <w:t xml:space="preserve"> </w:t>
      </w:r>
      <w:r w:rsidR="00904160">
        <w:rPr>
          <w:sz w:val="26"/>
          <w:szCs w:val="26"/>
        </w:rPr>
        <w:t>T</w:t>
      </w:r>
      <w:r w:rsidR="008346BF" w:rsidRPr="0038447A">
        <w:rPr>
          <w:sz w:val="26"/>
          <w:szCs w:val="26"/>
        </w:rPr>
        <w:t xml:space="preserve">ie </w:t>
      </w:r>
      <w:r w:rsidRPr="0038447A">
        <w:rPr>
          <w:sz w:val="26"/>
          <w:szCs w:val="26"/>
        </w:rPr>
        <w:t>pilnveido</w:t>
      </w:r>
      <w:r w:rsidR="008346BF" w:rsidRPr="0038447A">
        <w:rPr>
          <w:sz w:val="26"/>
          <w:szCs w:val="26"/>
        </w:rPr>
        <w:t>ja</w:t>
      </w:r>
      <w:r w:rsidRPr="0038447A">
        <w:rPr>
          <w:sz w:val="26"/>
          <w:szCs w:val="26"/>
        </w:rPr>
        <w:t xml:space="preserve"> regulējum</w:t>
      </w:r>
      <w:r w:rsidR="008346BF" w:rsidRPr="0038447A">
        <w:rPr>
          <w:sz w:val="26"/>
          <w:szCs w:val="26"/>
        </w:rPr>
        <w:t>u</w:t>
      </w:r>
      <w:r w:rsidRPr="0038447A">
        <w:rPr>
          <w:sz w:val="26"/>
          <w:szCs w:val="26"/>
        </w:rPr>
        <w:t xml:space="preserve"> attiecībā uz ierobežojumiem</w:t>
      </w:r>
      <w:r w:rsidR="006536E8" w:rsidRPr="0038447A">
        <w:rPr>
          <w:sz w:val="26"/>
          <w:szCs w:val="26"/>
        </w:rPr>
        <w:t>, kas nosaka</w:t>
      </w:r>
      <w:r w:rsidRPr="0038447A">
        <w:rPr>
          <w:sz w:val="26"/>
          <w:szCs w:val="26"/>
        </w:rPr>
        <w:t xml:space="preserve">, kādās vietās ir </w:t>
      </w:r>
      <w:r w:rsidR="006536E8" w:rsidRPr="0038447A">
        <w:rPr>
          <w:sz w:val="26"/>
          <w:szCs w:val="26"/>
        </w:rPr>
        <w:t>a</w:t>
      </w:r>
      <w:r w:rsidRPr="0038447A">
        <w:rPr>
          <w:sz w:val="26"/>
          <w:szCs w:val="26"/>
        </w:rPr>
        <w:t>izliegta priekšvēlēšanu aģitācija, kā arī attiecībā uz reklāmas pakalpojumu sniedzējiem, kuri vēl</w:t>
      </w:r>
      <w:r w:rsidR="006536E8" w:rsidRPr="0038447A">
        <w:rPr>
          <w:sz w:val="26"/>
          <w:szCs w:val="26"/>
        </w:rPr>
        <w:t>a</w:t>
      </w:r>
      <w:r w:rsidRPr="0038447A">
        <w:rPr>
          <w:sz w:val="26"/>
          <w:szCs w:val="26"/>
        </w:rPr>
        <w:t xml:space="preserve">s par maksu izvietot priekšvēlēšanu aģitāciju, piemēram, nosakot pienākumu arī vides reklāmas pakalpojumu sniedzējiem pirms priekšvēlēšanu aģitācijas perioda sākuma publicēt priekšvēlēšanu aģitācijas izcenojumus un nosakot </w:t>
      </w:r>
      <w:r w:rsidR="003F6196">
        <w:rPr>
          <w:sz w:val="26"/>
          <w:szCs w:val="26"/>
        </w:rPr>
        <w:t xml:space="preserve">pienākumu </w:t>
      </w:r>
      <w:r w:rsidRPr="0038447A">
        <w:rPr>
          <w:sz w:val="26"/>
          <w:szCs w:val="26"/>
        </w:rPr>
        <w:t>priekšvēlēšanu aģitācijas bukletiem norādīt arī to izplatīšanas tirāžu u.c.</w:t>
      </w:r>
    </w:p>
    <w:p w14:paraId="42D0F31B" w14:textId="77777777" w:rsidR="00842ED5" w:rsidRDefault="00017CF4" w:rsidP="009A58F6">
      <w:pPr>
        <w:rPr>
          <w:rFonts w:eastAsia="Times New Roman" w:cs="Times New Roman"/>
          <w:sz w:val="26"/>
          <w:szCs w:val="26"/>
          <w:lang w:eastAsia="lv-LV"/>
        </w:rPr>
      </w:pPr>
      <w:r w:rsidRPr="0038447A">
        <w:rPr>
          <w:rFonts w:eastAsia="Times New Roman" w:cs="Times New Roman"/>
          <w:sz w:val="26"/>
          <w:szCs w:val="26"/>
          <w:lang w:eastAsia="lv-LV"/>
        </w:rPr>
        <w:t>Saeima 2017.gada 26.oktobrī galīgajā lasījumā pieņēma grozījumus Finansēšanas likumā, kuru izstrādē piedalījās Birojs. Pieņemto grozījumu viens no mērķiem ir novērst</w:t>
      </w:r>
      <w:r w:rsidR="00842ED5" w:rsidRPr="00842ED5">
        <w:rPr>
          <w:rFonts w:eastAsia="Times New Roman" w:cs="Times New Roman"/>
          <w:sz w:val="26"/>
          <w:szCs w:val="26"/>
          <w:lang w:eastAsia="lv-LV"/>
        </w:rPr>
        <w:t xml:space="preserve"> </w:t>
      </w:r>
      <w:r w:rsidR="00842ED5" w:rsidRPr="0038447A">
        <w:rPr>
          <w:rFonts w:eastAsia="Times New Roman" w:cs="Times New Roman"/>
          <w:sz w:val="26"/>
          <w:szCs w:val="26"/>
          <w:lang w:eastAsia="lv-LV"/>
        </w:rPr>
        <w:t>individuālu fizisku personu iespējamu neatļautu iesaistīšanos ziedošanas starpniecībā</w:t>
      </w:r>
      <w:r w:rsidR="00842ED5">
        <w:rPr>
          <w:rFonts w:eastAsia="Times New Roman" w:cs="Times New Roman"/>
          <w:sz w:val="26"/>
          <w:szCs w:val="26"/>
          <w:lang w:eastAsia="lv-LV"/>
        </w:rPr>
        <w:t>.</w:t>
      </w:r>
    </w:p>
    <w:p w14:paraId="42D0F31C" w14:textId="77777777" w:rsidR="00D31066" w:rsidRPr="00820014" w:rsidRDefault="00D31066" w:rsidP="00D31066">
      <w:pPr>
        <w:ind w:firstLine="709"/>
        <w:rPr>
          <w:rFonts w:cs="Times New Roman"/>
          <w:sz w:val="26"/>
          <w:szCs w:val="26"/>
        </w:rPr>
      </w:pPr>
      <w:r w:rsidRPr="0038447A">
        <w:rPr>
          <w:rFonts w:cs="Times New Roman"/>
          <w:sz w:val="26"/>
          <w:szCs w:val="26"/>
        </w:rPr>
        <w:t xml:space="preserve">Stratēģijas </w:t>
      </w:r>
      <w:r w:rsidR="003F6196">
        <w:rPr>
          <w:rFonts w:cs="Times New Roman"/>
          <w:sz w:val="26"/>
          <w:szCs w:val="26"/>
        </w:rPr>
        <w:t xml:space="preserve">darbības </w:t>
      </w:r>
      <w:r w:rsidRPr="0038447A">
        <w:rPr>
          <w:rFonts w:cs="Times New Roman"/>
          <w:sz w:val="26"/>
          <w:szCs w:val="26"/>
        </w:rPr>
        <w:t xml:space="preserve">periodā Latvijā notiks Saeimas (2018.gada oktobrī) un Eiropas Parlamenta (2019.gada maijā) vēlēšanas. Ņemot vērā politisko procesu intensitāti, pastāv būtisks risks, ka priekšvēlēšanu laikā nepieciešamie finanšu līdzekļi politisko partiju darbības nodrošināšanai var tikt iegūti ne vien no likumīgiem, bet arī slēptiem finanšu avotiem jeb “melnajām kasēm”. Politisko partiju pārstāvju ciešā saistība ar to sponsoriem, kuri papildina partiju kases, var ietekmēt arī politisko dienas kārtību un </w:t>
      </w:r>
      <w:r>
        <w:rPr>
          <w:rFonts w:cs="Times New Roman"/>
          <w:sz w:val="26"/>
          <w:szCs w:val="26"/>
        </w:rPr>
        <w:t xml:space="preserve">lēmumu pieņemšanu, </w:t>
      </w:r>
      <w:r w:rsidRPr="0038447A">
        <w:rPr>
          <w:rFonts w:cs="Times New Roman"/>
          <w:sz w:val="26"/>
          <w:szCs w:val="26"/>
        </w:rPr>
        <w:t xml:space="preserve">tādēļ politisko partiju finansēšanas kontrolei šajā periodā ir pievēršama </w:t>
      </w:r>
      <w:r>
        <w:rPr>
          <w:rFonts w:cs="Times New Roman"/>
          <w:sz w:val="26"/>
          <w:szCs w:val="26"/>
        </w:rPr>
        <w:t>pastiprināta</w:t>
      </w:r>
      <w:r w:rsidRPr="0038447A">
        <w:rPr>
          <w:rFonts w:cs="Times New Roman"/>
          <w:sz w:val="26"/>
          <w:szCs w:val="26"/>
        </w:rPr>
        <w:t xml:space="preserve"> </w:t>
      </w:r>
      <w:r>
        <w:rPr>
          <w:rFonts w:cs="Times New Roman"/>
          <w:sz w:val="26"/>
          <w:szCs w:val="26"/>
        </w:rPr>
        <w:t>uzmanība.</w:t>
      </w:r>
    </w:p>
    <w:p w14:paraId="42D0F31D" w14:textId="77777777" w:rsidR="00A501EF" w:rsidRPr="00D31066" w:rsidRDefault="00017CF4" w:rsidP="00D31066">
      <w:pPr>
        <w:rPr>
          <w:rFonts w:eastAsia="Times New Roman" w:cs="Times New Roman"/>
          <w:sz w:val="26"/>
          <w:szCs w:val="26"/>
          <w:lang w:eastAsia="lv-LV"/>
        </w:rPr>
      </w:pPr>
      <w:r w:rsidRPr="0038447A">
        <w:rPr>
          <w:rFonts w:eastAsia="Times New Roman" w:cs="Times New Roman"/>
          <w:sz w:val="26"/>
          <w:szCs w:val="26"/>
          <w:lang w:eastAsia="lv-LV"/>
        </w:rPr>
        <w:t>Veicot politisko partiju saņemto ziedojumu (dāvinājumu) pārbaudes</w:t>
      </w:r>
      <w:r w:rsidR="00364A9C">
        <w:rPr>
          <w:rFonts w:eastAsia="Times New Roman" w:cs="Times New Roman"/>
          <w:sz w:val="26"/>
          <w:szCs w:val="26"/>
          <w:lang w:eastAsia="lv-LV"/>
        </w:rPr>
        <w:t>,</w:t>
      </w:r>
      <w:r w:rsidRPr="0038447A">
        <w:rPr>
          <w:rFonts w:eastAsia="Times New Roman" w:cs="Times New Roman"/>
          <w:sz w:val="26"/>
          <w:szCs w:val="26"/>
          <w:lang w:eastAsia="lv-LV"/>
        </w:rPr>
        <w:t xml:space="preserve"> Birojs </w:t>
      </w:r>
      <w:r w:rsidR="00244A23">
        <w:rPr>
          <w:rFonts w:eastAsia="Times New Roman" w:cs="Times New Roman"/>
          <w:sz w:val="26"/>
          <w:szCs w:val="26"/>
          <w:lang w:eastAsia="lv-LV"/>
        </w:rPr>
        <w:t xml:space="preserve">ir </w:t>
      </w:r>
      <w:r w:rsidRPr="0038447A">
        <w:rPr>
          <w:rFonts w:eastAsia="Times New Roman" w:cs="Times New Roman"/>
          <w:sz w:val="26"/>
          <w:szCs w:val="26"/>
          <w:lang w:eastAsia="lv-LV"/>
        </w:rPr>
        <w:t>konstatēj</w:t>
      </w:r>
      <w:r w:rsidR="00244A23">
        <w:rPr>
          <w:rFonts w:eastAsia="Times New Roman" w:cs="Times New Roman"/>
          <w:sz w:val="26"/>
          <w:szCs w:val="26"/>
          <w:lang w:eastAsia="lv-LV"/>
        </w:rPr>
        <w:t>is</w:t>
      </w:r>
      <w:r w:rsidRPr="0038447A">
        <w:rPr>
          <w:rFonts w:eastAsia="Times New Roman" w:cs="Times New Roman"/>
          <w:sz w:val="26"/>
          <w:szCs w:val="26"/>
          <w:lang w:eastAsia="lv-LV"/>
        </w:rPr>
        <w:t xml:space="preserve">, ka gandrīz 25% ziedojumu tiek veikti, ziedojot attiecīgo privātpersonu visus iepriekšējo trīs gadu laikā gūtos ienākumus, kas rada aizdomas par šo līdzekļu likumīgu izcelsmi. Efektīva politisko partiju finansēšanas kontrole ir cieši saistīta ar šo fizisko personu ienākumu legalitātes kontroli valstī kopumā. Šobrīd spēkā esošais normatīvo aktu regulējums pieļauj šādu ziedojumu (dāvinājumu) veikšanu un </w:t>
      </w:r>
      <w:r w:rsidRPr="0038447A">
        <w:rPr>
          <w:rFonts w:eastAsia="Times New Roman" w:cs="Times New Roman"/>
          <w:sz w:val="26"/>
          <w:szCs w:val="26"/>
          <w:lang w:eastAsia="lv-LV"/>
        </w:rPr>
        <w:lastRenderedPageBreak/>
        <w:t>kontrolējošām institūcijām ir ierobežotas iespējas pierādīt, ka faktiski nav iespējams ziedot visus savus legāli gūtos ienākumus partijai, neatstājot personai nekādus finanšu līdzekļus iztikai. Tādējādi pastāv bažas, ka ļoti liels ziedotāju īpatsvars faktiski ir starpnieki un neizmanto savus legālos ienākumus ziedojumiem, bet gan citu, neidentificētu avotu finanšu līdzekļus. Finan</w:t>
      </w:r>
      <w:r w:rsidR="00364A9C">
        <w:rPr>
          <w:rFonts w:eastAsia="Times New Roman" w:cs="Times New Roman"/>
          <w:sz w:val="26"/>
          <w:szCs w:val="26"/>
          <w:lang w:eastAsia="lv-LV"/>
        </w:rPr>
        <w:t>sē</w:t>
      </w:r>
      <w:r w:rsidRPr="0038447A">
        <w:rPr>
          <w:rFonts w:eastAsia="Times New Roman" w:cs="Times New Roman"/>
          <w:sz w:val="26"/>
          <w:szCs w:val="26"/>
          <w:lang w:eastAsia="lv-LV"/>
        </w:rPr>
        <w:t>š</w:t>
      </w:r>
      <w:r w:rsidR="00364A9C">
        <w:rPr>
          <w:rFonts w:eastAsia="Times New Roman" w:cs="Times New Roman"/>
          <w:sz w:val="26"/>
          <w:szCs w:val="26"/>
          <w:lang w:eastAsia="lv-LV"/>
        </w:rPr>
        <w:t>anas</w:t>
      </w:r>
      <w:r w:rsidRPr="0038447A">
        <w:rPr>
          <w:rFonts w:eastAsia="Times New Roman" w:cs="Times New Roman"/>
          <w:sz w:val="26"/>
          <w:szCs w:val="26"/>
          <w:lang w:eastAsia="lv-LV"/>
        </w:rPr>
        <w:t xml:space="preserve"> likuma grozījumi, kas </w:t>
      </w:r>
      <w:r w:rsidR="00CE0814" w:rsidRPr="0038447A">
        <w:rPr>
          <w:rFonts w:eastAsia="Times New Roman" w:cs="Times New Roman"/>
          <w:sz w:val="26"/>
          <w:szCs w:val="26"/>
          <w:lang w:eastAsia="lv-LV"/>
        </w:rPr>
        <w:t>stā</w:t>
      </w:r>
      <w:r w:rsidR="00CE0814">
        <w:rPr>
          <w:rFonts w:eastAsia="Times New Roman" w:cs="Times New Roman"/>
          <w:sz w:val="26"/>
          <w:szCs w:val="26"/>
          <w:lang w:eastAsia="lv-LV"/>
        </w:rPr>
        <w:t>jā</w:t>
      </w:r>
      <w:r w:rsidR="00CE0814" w:rsidRPr="0038447A">
        <w:rPr>
          <w:rFonts w:eastAsia="Times New Roman" w:cs="Times New Roman"/>
          <w:sz w:val="26"/>
          <w:szCs w:val="26"/>
          <w:lang w:eastAsia="lv-LV"/>
        </w:rPr>
        <w:t xml:space="preserve">s </w:t>
      </w:r>
      <w:r w:rsidRPr="0038447A">
        <w:rPr>
          <w:rFonts w:eastAsia="Times New Roman" w:cs="Times New Roman"/>
          <w:sz w:val="26"/>
          <w:szCs w:val="26"/>
          <w:lang w:eastAsia="lv-LV"/>
        </w:rPr>
        <w:t>spēkā 2018.gada 1.janvārī, paredz, ka fiziskas personas drīkst veikt dāvinājumus (ziedojumus), iemaksāt biedru naudas un iestāšanās naudas no saviem ienākumiem, bet šo dāvinājumu (ziedojumu), biedru naudu un iestāšanās naudu kopējais apmērs nedrīkstēs pārsniegt 30% no šo personu iepriekšējā kalendārajā gadā gūtajiem ienākumiem.</w:t>
      </w:r>
    </w:p>
    <w:p w14:paraId="42D0F31E" w14:textId="77777777" w:rsidR="00017CF4" w:rsidRPr="0038447A" w:rsidRDefault="00017CF4" w:rsidP="00017CF4">
      <w:pPr>
        <w:pStyle w:val="NoSpacing"/>
        <w:jc w:val="both"/>
        <w:rPr>
          <w:b w:val="0"/>
          <w:sz w:val="26"/>
          <w:szCs w:val="26"/>
          <w:lang w:eastAsia="lv-LV"/>
        </w:rPr>
      </w:pPr>
      <w:r w:rsidRPr="0038447A">
        <w:rPr>
          <w:b w:val="0"/>
          <w:sz w:val="26"/>
          <w:szCs w:val="26"/>
          <w:lang w:eastAsia="lv-LV"/>
        </w:rPr>
        <w:tab/>
      </w:r>
      <w:r w:rsidR="00CA3A34" w:rsidRPr="0038447A">
        <w:rPr>
          <w:b w:val="0"/>
          <w:sz w:val="26"/>
          <w:szCs w:val="26"/>
          <w:lang w:eastAsia="lv-LV"/>
        </w:rPr>
        <w:t xml:space="preserve">Neskatoties uz </w:t>
      </w:r>
      <w:r w:rsidRPr="0038447A">
        <w:rPr>
          <w:b w:val="0"/>
          <w:sz w:val="26"/>
          <w:szCs w:val="26"/>
          <w:lang w:eastAsia="lv-LV"/>
        </w:rPr>
        <w:t xml:space="preserve">dažādiem atklātības nodrošināšanas mehānismiem politisko partiju finansēšanā, </w:t>
      </w:r>
      <w:r w:rsidR="00A501EF">
        <w:rPr>
          <w:b w:val="0"/>
          <w:sz w:val="26"/>
          <w:szCs w:val="26"/>
          <w:lang w:eastAsia="lv-LV"/>
        </w:rPr>
        <w:t>joprojām pastāv risks</w:t>
      </w:r>
      <w:r w:rsidRPr="0038447A">
        <w:rPr>
          <w:b w:val="0"/>
          <w:sz w:val="26"/>
          <w:szCs w:val="26"/>
          <w:lang w:eastAsia="lv-LV"/>
        </w:rPr>
        <w:t>, ka atsevišķi lieli ziedojumi politiskajām partijām tiek veikti no neatļautiem finanšu avotiem, aizsegam izmantojo</w:t>
      </w:r>
      <w:r w:rsidR="008346BF" w:rsidRPr="0038447A">
        <w:rPr>
          <w:b w:val="0"/>
          <w:sz w:val="26"/>
          <w:szCs w:val="26"/>
          <w:lang w:eastAsia="lv-LV"/>
        </w:rPr>
        <w:t>t Latvijas pilsoņu identitātes</w:t>
      </w:r>
      <w:r w:rsidR="00A501EF">
        <w:rPr>
          <w:b w:val="0"/>
          <w:sz w:val="26"/>
          <w:szCs w:val="26"/>
          <w:lang w:eastAsia="lv-LV"/>
        </w:rPr>
        <w:t>. Turklāt</w:t>
      </w:r>
      <w:r w:rsidRPr="0038447A">
        <w:rPr>
          <w:b w:val="0"/>
          <w:sz w:val="26"/>
          <w:szCs w:val="26"/>
          <w:lang w:eastAsia="lv-LV"/>
        </w:rPr>
        <w:t xml:space="preserve"> riski būtiski pieaug tieši priekšvēlēšanu aģitācijas periodos. Pārbaužu gaitā iegūtā informācija rada pamatotas aizdomas, ka politisko partiju darbības nodrošināšanai un priekšvēlēšanu aģitācijai tiek izmantoti līdzekļi, kas netiek reģistrēti partiju grāmatvedībā. Priekšvēlēšanu aģitācijas likums nosaka ierobežojumus un aizliegumus priekšvēlēšanu aģitācijas veicējiem un priekšvēlēšanu aģitācijas pakalpojumu sniedzējiem, lai politiskās partijas priekšvēlēšanu aģitācijas kampaņām tērē</w:t>
      </w:r>
      <w:r w:rsidR="00602096">
        <w:rPr>
          <w:b w:val="0"/>
          <w:sz w:val="26"/>
          <w:szCs w:val="26"/>
          <w:lang w:eastAsia="lv-LV"/>
        </w:rPr>
        <w:t>tu</w:t>
      </w:r>
      <w:r w:rsidRPr="0038447A">
        <w:rPr>
          <w:b w:val="0"/>
          <w:sz w:val="26"/>
          <w:szCs w:val="26"/>
          <w:lang w:eastAsia="lv-LV"/>
        </w:rPr>
        <w:t xml:space="preserve"> mazāk finanšu līdzekļus un neizmanto valsts un pašvaldību administratīvos resursus. Tomēr regulējums priekšvēlēšanu aģitācijas laikā attiecībā uz ierobežojumiem internetā nav pietiekošs un neatbilst mūsdienu interneta attīstības tendencēm, tāpēc ir pilnveidojams.</w:t>
      </w:r>
    </w:p>
    <w:p w14:paraId="42D0F31F" w14:textId="77777777" w:rsidR="006866A7" w:rsidRPr="0038447A" w:rsidRDefault="00017CF4" w:rsidP="00842ED5">
      <w:pPr>
        <w:pStyle w:val="NoSpacing"/>
        <w:jc w:val="both"/>
        <w:rPr>
          <w:b w:val="0"/>
          <w:sz w:val="26"/>
          <w:szCs w:val="26"/>
          <w:u w:val="single"/>
        </w:rPr>
      </w:pPr>
      <w:r w:rsidRPr="0038447A">
        <w:rPr>
          <w:b w:val="0"/>
          <w:sz w:val="26"/>
          <w:szCs w:val="26"/>
          <w:lang w:eastAsia="lv-LV"/>
        </w:rPr>
        <w:tab/>
        <w:t xml:space="preserve"> </w:t>
      </w:r>
    </w:p>
    <w:p w14:paraId="42D0F320" w14:textId="77777777" w:rsidR="009A58F6" w:rsidRPr="0038447A" w:rsidRDefault="009A58F6" w:rsidP="00F47FAD">
      <w:pPr>
        <w:spacing w:after="240" w:line="276" w:lineRule="auto"/>
        <w:ind w:firstLine="0"/>
        <w:jc w:val="left"/>
        <w:rPr>
          <w:b/>
          <w:sz w:val="26"/>
          <w:szCs w:val="26"/>
          <w:u w:val="single"/>
        </w:rPr>
      </w:pPr>
      <w:r w:rsidRPr="0038447A">
        <w:rPr>
          <w:b/>
          <w:sz w:val="26"/>
          <w:szCs w:val="26"/>
          <w:u w:val="single"/>
        </w:rPr>
        <w:t xml:space="preserve">Darbības virziena mērķis: </w:t>
      </w:r>
    </w:p>
    <w:p w14:paraId="42D0F321" w14:textId="77777777" w:rsidR="009A58F6" w:rsidRPr="0038447A" w:rsidRDefault="009A58F6" w:rsidP="005A11F2">
      <w:pPr>
        <w:rPr>
          <w:sz w:val="26"/>
          <w:szCs w:val="26"/>
        </w:rPr>
      </w:pPr>
      <w:r w:rsidRPr="0038447A">
        <w:rPr>
          <w:sz w:val="26"/>
          <w:szCs w:val="26"/>
        </w:rPr>
        <w:t>Nodrošināt politisko organizāciju finansēšanas atklātumu un mazināt naudas lomu politikā.</w:t>
      </w:r>
    </w:p>
    <w:p w14:paraId="42D0F322" w14:textId="77777777" w:rsidR="00F47FAD" w:rsidRPr="001517B5" w:rsidRDefault="00F47FAD" w:rsidP="00F47FAD">
      <w:pPr>
        <w:pStyle w:val="NoSpacing"/>
        <w:rPr>
          <w:b w:val="0"/>
          <w:sz w:val="26"/>
          <w:szCs w:val="26"/>
        </w:rPr>
      </w:pPr>
    </w:p>
    <w:p w14:paraId="42D0F323" w14:textId="77777777" w:rsidR="009A58F6" w:rsidRPr="0038447A" w:rsidRDefault="009A58F6" w:rsidP="009A58F6">
      <w:pPr>
        <w:spacing w:after="200" w:line="276" w:lineRule="auto"/>
        <w:ind w:firstLine="0"/>
        <w:jc w:val="left"/>
        <w:rPr>
          <w:b/>
          <w:sz w:val="26"/>
          <w:szCs w:val="26"/>
          <w:u w:val="single"/>
        </w:rPr>
      </w:pPr>
      <w:r w:rsidRPr="0038447A">
        <w:rPr>
          <w:b/>
          <w:sz w:val="26"/>
          <w:szCs w:val="26"/>
          <w:u w:val="single"/>
        </w:rPr>
        <w:t>Politikas rezultāti:</w:t>
      </w:r>
      <w:r w:rsidR="00981677" w:rsidRPr="0038447A">
        <w:rPr>
          <w:b/>
          <w:sz w:val="26"/>
          <w:szCs w:val="26"/>
          <w:u w:val="single"/>
        </w:rPr>
        <w:t xml:space="preserve"> </w:t>
      </w:r>
    </w:p>
    <w:p w14:paraId="42D0F324" w14:textId="77777777" w:rsidR="009A58F6" w:rsidRPr="0038447A" w:rsidRDefault="000A003F" w:rsidP="00A556D9">
      <w:pPr>
        <w:pStyle w:val="NoSpacing"/>
        <w:jc w:val="right"/>
        <w:rPr>
          <w:b w:val="0"/>
          <w:i/>
          <w:sz w:val="26"/>
          <w:szCs w:val="26"/>
        </w:rPr>
      </w:pPr>
      <w:r>
        <w:rPr>
          <w:b w:val="0"/>
          <w:i/>
          <w:sz w:val="26"/>
          <w:szCs w:val="26"/>
        </w:rPr>
        <w:t>4</w:t>
      </w:r>
      <w:r w:rsidR="00891063" w:rsidRPr="0038447A">
        <w:rPr>
          <w:b w:val="0"/>
          <w:i/>
          <w:sz w:val="26"/>
          <w:szCs w:val="26"/>
        </w:rPr>
        <w:t>.tabula</w:t>
      </w:r>
    </w:p>
    <w:tbl>
      <w:tblPr>
        <w:tblW w:w="974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668"/>
        <w:gridCol w:w="2409"/>
        <w:gridCol w:w="1134"/>
        <w:gridCol w:w="1134"/>
        <w:gridCol w:w="1134"/>
        <w:gridCol w:w="1134"/>
        <w:gridCol w:w="1134"/>
      </w:tblGrid>
      <w:tr w:rsidR="009A58F6" w:rsidRPr="0038447A" w14:paraId="42D0F326" w14:textId="77777777" w:rsidTr="005D3F00">
        <w:trPr>
          <w:trHeight w:val="339"/>
        </w:trPr>
        <w:tc>
          <w:tcPr>
            <w:tcW w:w="9747" w:type="dxa"/>
            <w:gridSpan w:val="7"/>
            <w:shd w:val="clear" w:color="auto" w:fill="auto"/>
          </w:tcPr>
          <w:p w14:paraId="42D0F325" w14:textId="77777777" w:rsidR="009A58F6" w:rsidRPr="0038447A" w:rsidRDefault="009A58F6" w:rsidP="005D3F00">
            <w:pPr>
              <w:ind w:firstLine="0"/>
              <w:jc w:val="left"/>
              <w:rPr>
                <w:rFonts w:eastAsia="Calibri" w:cs="Times New Roman"/>
                <w:sz w:val="22"/>
                <w:vertAlign w:val="superscript"/>
              </w:rPr>
            </w:pPr>
            <w:r w:rsidRPr="0038447A">
              <w:rPr>
                <w:rFonts w:eastAsia="Calibri" w:cs="Times New Roman"/>
                <w:sz w:val="22"/>
              </w:rPr>
              <w:t xml:space="preserve"> </w:t>
            </w:r>
            <w:r w:rsidR="00BF76C9" w:rsidRPr="0038447A">
              <w:rPr>
                <w:rFonts w:eastAsia="Calibri" w:cs="Times New Roman"/>
                <w:sz w:val="22"/>
              </w:rPr>
              <w:t>3.</w:t>
            </w:r>
            <w:r w:rsidRPr="0038447A">
              <w:rPr>
                <w:rFonts w:eastAsia="Calibri" w:cs="Times New Roman"/>
                <w:sz w:val="22"/>
              </w:rPr>
              <w:t>Politikas rezultāti</w:t>
            </w:r>
          </w:p>
        </w:tc>
      </w:tr>
      <w:tr w:rsidR="009A58F6" w:rsidRPr="0038447A" w14:paraId="42D0F32A" w14:textId="77777777" w:rsidTr="005D3F00">
        <w:trPr>
          <w:trHeight w:val="96"/>
        </w:trPr>
        <w:tc>
          <w:tcPr>
            <w:tcW w:w="1668" w:type="dxa"/>
            <w:vMerge w:val="restart"/>
            <w:shd w:val="clear" w:color="auto" w:fill="auto"/>
          </w:tcPr>
          <w:p w14:paraId="42D0F327" w14:textId="77777777" w:rsidR="009A58F6" w:rsidRPr="0038447A" w:rsidRDefault="00BF76C9" w:rsidP="005D3F00">
            <w:pPr>
              <w:ind w:firstLine="0"/>
              <w:jc w:val="left"/>
              <w:rPr>
                <w:rFonts w:eastAsia="Calibri" w:cs="Times New Roman"/>
                <w:sz w:val="22"/>
              </w:rPr>
            </w:pPr>
            <w:r w:rsidRPr="0038447A">
              <w:rPr>
                <w:rFonts w:eastAsia="Calibri" w:cs="Times New Roman"/>
                <w:sz w:val="22"/>
              </w:rPr>
              <w:t>3.1.</w:t>
            </w:r>
            <w:r w:rsidR="009A58F6" w:rsidRPr="0038447A">
              <w:rPr>
                <w:rFonts w:eastAsia="Calibri" w:cs="Times New Roman"/>
                <w:sz w:val="22"/>
              </w:rPr>
              <w:t xml:space="preserve">Rezultāts </w:t>
            </w:r>
          </w:p>
        </w:tc>
        <w:tc>
          <w:tcPr>
            <w:tcW w:w="2409" w:type="dxa"/>
            <w:vMerge w:val="restart"/>
            <w:shd w:val="clear" w:color="auto" w:fill="auto"/>
          </w:tcPr>
          <w:p w14:paraId="42D0F328" w14:textId="77777777" w:rsidR="009A58F6" w:rsidRPr="0038447A" w:rsidRDefault="00BF76C9" w:rsidP="005D3F00">
            <w:pPr>
              <w:ind w:firstLine="0"/>
              <w:jc w:val="left"/>
              <w:rPr>
                <w:rFonts w:eastAsia="Calibri" w:cs="Times New Roman"/>
                <w:sz w:val="22"/>
                <w:vertAlign w:val="superscript"/>
              </w:rPr>
            </w:pPr>
            <w:r w:rsidRPr="0038447A">
              <w:rPr>
                <w:rFonts w:eastAsia="Calibri" w:cs="Times New Roman"/>
                <w:sz w:val="22"/>
              </w:rPr>
              <w:t>3.2.</w:t>
            </w:r>
            <w:r w:rsidR="009A58F6" w:rsidRPr="0038447A">
              <w:rPr>
                <w:rFonts w:eastAsia="Calibri" w:cs="Times New Roman"/>
                <w:sz w:val="22"/>
              </w:rPr>
              <w:t>Rezultatīvais rādītājs</w:t>
            </w:r>
          </w:p>
        </w:tc>
        <w:tc>
          <w:tcPr>
            <w:tcW w:w="5670" w:type="dxa"/>
            <w:gridSpan w:val="5"/>
            <w:shd w:val="clear" w:color="auto" w:fill="auto"/>
          </w:tcPr>
          <w:p w14:paraId="42D0F329" w14:textId="77777777" w:rsidR="009A58F6" w:rsidRPr="0038447A" w:rsidRDefault="00BF76C9" w:rsidP="005D3F00">
            <w:pPr>
              <w:ind w:firstLine="0"/>
              <w:jc w:val="left"/>
              <w:rPr>
                <w:rFonts w:eastAsia="Calibri" w:cs="Times New Roman"/>
                <w:sz w:val="22"/>
              </w:rPr>
            </w:pPr>
            <w:r w:rsidRPr="0038447A">
              <w:rPr>
                <w:rFonts w:eastAsia="Calibri" w:cs="Times New Roman"/>
                <w:sz w:val="22"/>
              </w:rPr>
              <w:t>3.3.</w:t>
            </w:r>
            <w:r w:rsidR="009A58F6" w:rsidRPr="0038447A">
              <w:rPr>
                <w:rFonts w:eastAsia="Calibri" w:cs="Times New Roman"/>
                <w:sz w:val="22"/>
              </w:rPr>
              <w:t xml:space="preserve"> Rezultatīvā rādītāja skaitliskās vērtības</w:t>
            </w:r>
          </w:p>
        </w:tc>
      </w:tr>
      <w:tr w:rsidR="009A58F6" w:rsidRPr="0038447A" w14:paraId="42D0F332" w14:textId="77777777" w:rsidTr="000A003F">
        <w:trPr>
          <w:trHeight w:val="270"/>
        </w:trPr>
        <w:tc>
          <w:tcPr>
            <w:tcW w:w="1668" w:type="dxa"/>
            <w:vMerge/>
            <w:shd w:val="clear" w:color="auto" w:fill="auto"/>
          </w:tcPr>
          <w:p w14:paraId="42D0F32B" w14:textId="77777777" w:rsidR="009A58F6" w:rsidRPr="0038447A" w:rsidRDefault="009A58F6" w:rsidP="005D3F00">
            <w:pPr>
              <w:ind w:firstLine="0"/>
              <w:jc w:val="left"/>
              <w:rPr>
                <w:rFonts w:eastAsia="Calibri" w:cs="Times New Roman"/>
                <w:sz w:val="22"/>
              </w:rPr>
            </w:pPr>
          </w:p>
        </w:tc>
        <w:tc>
          <w:tcPr>
            <w:tcW w:w="2409" w:type="dxa"/>
            <w:vMerge/>
            <w:shd w:val="clear" w:color="auto" w:fill="auto"/>
          </w:tcPr>
          <w:p w14:paraId="42D0F32C" w14:textId="77777777" w:rsidR="009A58F6" w:rsidRPr="0038447A" w:rsidRDefault="009A58F6" w:rsidP="005D3F00">
            <w:pPr>
              <w:ind w:firstLine="0"/>
              <w:jc w:val="left"/>
              <w:rPr>
                <w:rFonts w:eastAsia="Calibri" w:cs="Times New Roman"/>
                <w:sz w:val="22"/>
              </w:rPr>
            </w:pPr>
          </w:p>
        </w:tc>
        <w:tc>
          <w:tcPr>
            <w:tcW w:w="1134" w:type="dxa"/>
            <w:shd w:val="clear" w:color="auto" w:fill="auto"/>
            <w:vAlign w:val="center"/>
          </w:tcPr>
          <w:p w14:paraId="42D0F32D" w14:textId="77777777" w:rsidR="009A58F6" w:rsidRPr="0038447A" w:rsidRDefault="006349C5" w:rsidP="000A003F">
            <w:pPr>
              <w:ind w:firstLine="0"/>
              <w:jc w:val="center"/>
              <w:rPr>
                <w:rFonts w:eastAsia="Calibri" w:cs="Times New Roman"/>
                <w:sz w:val="22"/>
              </w:rPr>
            </w:pPr>
            <w:r w:rsidRPr="0038447A">
              <w:rPr>
                <w:rFonts w:eastAsia="Calibri" w:cs="Times New Roman"/>
                <w:sz w:val="22"/>
              </w:rPr>
              <w:t>2015.gada izpilde</w:t>
            </w:r>
          </w:p>
        </w:tc>
        <w:tc>
          <w:tcPr>
            <w:tcW w:w="1134" w:type="dxa"/>
            <w:shd w:val="clear" w:color="auto" w:fill="auto"/>
            <w:vAlign w:val="center"/>
          </w:tcPr>
          <w:p w14:paraId="42D0F32E" w14:textId="77777777" w:rsidR="009A58F6" w:rsidRPr="0038447A" w:rsidRDefault="006349C5" w:rsidP="000A003F">
            <w:pPr>
              <w:ind w:firstLine="0"/>
              <w:jc w:val="center"/>
              <w:rPr>
                <w:rFonts w:eastAsia="Calibri" w:cs="Times New Roman"/>
                <w:sz w:val="22"/>
              </w:rPr>
            </w:pPr>
            <w:r w:rsidRPr="0038447A">
              <w:rPr>
                <w:rFonts w:eastAsia="Calibri" w:cs="Times New Roman"/>
                <w:sz w:val="22"/>
              </w:rPr>
              <w:t>2016.gada izpilde</w:t>
            </w:r>
          </w:p>
        </w:tc>
        <w:tc>
          <w:tcPr>
            <w:tcW w:w="1134" w:type="dxa"/>
            <w:shd w:val="clear" w:color="auto" w:fill="auto"/>
            <w:vAlign w:val="center"/>
          </w:tcPr>
          <w:p w14:paraId="42D0F32F" w14:textId="77777777" w:rsidR="009A58F6" w:rsidRPr="0038447A" w:rsidRDefault="009A58F6" w:rsidP="000A003F">
            <w:pPr>
              <w:ind w:firstLine="0"/>
              <w:jc w:val="center"/>
              <w:rPr>
                <w:rFonts w:eastAsia="Calibri" w:cs="Times New Roman"/>
                <w:sz w:val="22"/>
              </w:rPr>
            </w:pPr>
            <w:r w:rsidRPr="0038447A">
              <w:rPr>
                <w:rFonts w:eastAsia="Calibri" w:cs="Times New Roman"/>
                <w:sz w:val="22"/>
              </w:rPr>
              <w:t>2017.gada p</w:t>
            </w:r>
            <w:r w:rsidR="004D73B9">
              <w:rPr>
                <w:rFonts w:eastAsia="Calibri" w:cs="Times New Roman"/>
                <w:sz w:val="22"/>
              </w:rPr>
              <w:t>lāns</w:t>
            </w:r>
          </w:p>
        </w:tc>
        <w:tc>
          <w:tcPr>
            <w:tcW w:w="1134" w:type="dxa"/>
            <w:shd w:val="clear" w:color="auto" w:fill="auto"/>
            <w:vAlign w:val="center"/>
          </w:tcPr>
          <w:p w14:paraId="42D0F330" w14:textId="77777777" w:rsidR="009A58F6" w:rsidRPr="0038447A" w:rsidRDefault="004D73B9" w:rsidP="000A003F">
            <w:pPr>
              <w:ind w:firstLine="0"/>
              <w:jc w:val="center"/>
              <w:rPr>
                <w:rFonts w:eastAsia="Calibri" w:cs="Times New Roman"/>
                <w:sz w:val="22"/>
              </w:rPr>
            </w:pPr>
            <w:r>
              <w:rPr>
                <w:rFonts w:eastAsia="Calibri" w:cs="Times New Roman"/>
                <w:sz w:val="22"/>
              </w:rPr>
              <w:t>2018.gada plāns</w:t>
            </w:r>
          </w:p>
        </w:tc>
        <w:tc>
          <w:tcPr>
            <w:tcW w:w="1134" w:type="dxa"/>
            <w:shd w:val="clear" w:color="auto" w:fill="auto"/>
            <w:vAlign w:val="center"/>
          </w:tcPr>
          <w:p w14:paraId="42D0F331" w14:textId="77777777" w:rsidR="009A58F6" w:rsidRPr="0038447A" w:rsidRDefault="009A58F6" w:rsidP="000A003F">
            <w:pPr>
              <w:ind w:firstLine="0"/>
              <w:jc w:val="center"/>
              <w:rPr>
                <w:rFonts w:eastAsia="Calibri" w:cs="Times New Roman"/>
                <w:sz w:val="22"/>
              </w:rPr>
            </w:pPr>
            <w:r w:rsidRPr="0038447A">
              <w:rPr>
                <w:rFonts w:eastAsia="Calibri" w:cs="Times New Roman"/>
                <w:sz w:val="22"/>
              </w:rPr>
              <w:t>2019.gada p</w:t>
            </w:r>
            <w:r w:rsidR="004D73B9">
              <w:rPr>
                <w:rFonts w:eastAsia="Calibri" w:cs="Times New Roman"/>
                <w:sz w:val="22"/>
              </w:rPr>
              <w:t>lāns</w:t>
            </w:r>
          </w:p>
        </w:tc>
      </w:tr>
      <w:tr w:rsidR="00304A73" w:rsidRPr="0038447A" w14:paraId="42D0F33B" w14:textId="77777777" w:rsidTr="00280C27">
        <w:trPr>
          <w:trHeight w:val="1012"/>
        </w:trPr>
        <w:tc>
          <w:tcPr>
            <w:tcW w:w="1668" w:type="dxa"/>
            <w:shd w:val="clear" w:color="auto" w:fill="auto"/>
          </w:tcPr>
          <w:p w14:paraId="42D0F333" w14:textId="77777777" w:rsidR="00304A73" w:rsidRPr="0038447A" w:rsidRDefault="00304A73" w:rsidP="005D3F00">
            <w:pPr>
              <w:ind w:right="-250" w:firstLine="0"/>
              <w:jc w:val="left"/>
              <w:rPr>
                <w:rFonts w:eastAsia="Calibri" w:cs="Times New Roman"/>
                <w:sz w:val="22"/>
              </w:rPr>
            </w:pPr>
            <w:r w:rsidRPr="0038447A">
              <w:rPr>
                <w:rFonts w:eastAsia="Calibri" w:cs="Times New Roman"/>
                <w:sz w:val="22"/>
              </w:rPr>
              <w:t>3.1.1.Mazinās naudas loma un ietekme politikā</w:t>
            </w:r>
          </w:p>
        </w:tc>
        <w:tc>
          <w:tcPr>
            <w:tcW w:w="2409" w:type="dxa"/>
            <w:shd w:val="clear" w:color="auto" w:fill="auto"/>
          </w:tcPr>
          <w:p w14:paraId="42D0F334" w14:textId="77777777" w:rsidR="00C36B99" w:rsidRPr="0038447A" w:rsidRDefault="00891063" w:rsidP="00C36B99">
            <w:pPr>
              <w:ind w:right="-250" w:firstLine="0"/>
              <w:jc w:val="left"/>
              <w:rPr>
                <w:rFonts w:eastAsia="Calibri" w:cs="Times New Roman"/>
                <w:sz w:val="22"/>
              </w:rPr>
            </w:pPr>
            <w:r w:rsidRPr="0038447A">
              <w:rPr>
                <w:rFonts w:eastAsia="Calibri" w:cs="Times New Roman"/>
                <w:sz w:val="22"/>
              </w:rPr>
              <w:t>3.2.1</w:t>
            </w:r>
            <w:r w:rsidR="00304A73" w:rsidRPr="0038447A">
              <w:rPr>
                <w:rFonts w:eastAsia="Calibri" w:cs="Times New Roman"/>
                <w:sz w:val="22"/>
              </w:rPr>
              <w:t xml:space="preserve">.Konstatētie pārkāpumi politisko </w:t>
            </w:r>
          </w:p>
          <w:p w14:paraId="42D0F335" w14:textId="77777777" w:rsidR="00304A73" w:rsidRPr="0038447A" w:rsidRDefault="00304A73" w:rsidP="00C36B99">
            <w:pPr>
              <w:ind w:right="-250" w:firstLine="0"/>
              <w:jc w:val="left"/>
              <w:rPr>
                <w:rFonts w:eastAsia="Calibri" w:cs="Times New Roman"/>
                <w:sz w:val="22"/>
              </w:rPr>
            </w:pPr>
            <w:r w:rsidRPr="0038447A">
              <w:rPr>
                <w:rFonts w:eastAsia="Calibri" w:cs="Times New Roman"/>
                <w:sz w:val="22"/>
              </w:rPr>
              <w:t>partiju finansēšanā un aģitācijas veikšanā</w:t>
            </w:r>
          </w:p>
        </w:tc>
        <w:tc>
          <w:tcPr>
            <w:tcW w:w="1134" w:type="dxa"/>
            <w:shd w:val="clear" w:color="auto" w:fill="auto"/>
            <w:vAlign w:val="center"/>
          </w:tcPr>
          <w:p w14:paraId="42D0F336" w14:textId="77777777" w:rsidR="00304A73" w:rsidRPr="0038447A" w:rsidRDefault="00304A73" w:rsidP="00280C27">
            <w:pPr>
              <w:ind w:left="-108" w:right="-250" w:firstLine="0"/>
              <w:jc w:val="center"/>
              <w:rPr>
                <w:rFonts w:eastAsia="Calibri" w:cs="Times New Roman"/>
                <w:sz w:val="22"/>
              </w:rPr>
            </w:pPr>
            <w:r w:rsidRPr="0038447A">
              <w:rPr>
                <w:rFonts w:eastAsia="Calibri" w:cs="Times New Roman"/>
                <w:sz w:val="22"/>
              </w:rPr>
              <w:t>36</w:t>
            </w:r>
          </w:p>
        </w:tc>
        <w:tc>
          <w:tcPr>
            <w:tcW w:w="1134" w:type="dxa"/>
            <w:shd w:val="clear" w:color="auto" w:fill="auto"/>
            <w:vAlign w:val="center"/>
          </w:tcPr>
          <w:p w14:paraId="42D0F337" w14:textId="77777777" w:rsidR="00304A73" w:rsidRPr="0038447A" w:rsidRDefault="00257FA7" w:rsidP="00981677">
            <w:pPr>
              <w:ind w:right="-250" w:firstLine="0"/>
              <w:jc w:val="center"/>
              <w:rPr>
                <w:rFonts w:eastAsia="Calibri" w:cs="Times New Roman"/>
                <w:sz w:val="22"/>
              </w:rPr>
            </w:pPr>
            <w:r w:rsidRPr="0038447A">
              <w:rPr>
                <w:rFonts w:eastAsia="Calibri" w:cs="Times New Roman"/>
                <w:sz w:val="22"/>
              </w:rPr>
              <w:t>26</w:t>
            </w:r>
          </w:p>
        </w:tc>
        <w:tc>
          <w:tcPr>
            <w:tcW w:w="1134" w:type="dxa"/>
            <w:shd w:val="clear" w:color="auto" w:fill="auto"/>
            <w:vAlign w:val="center"/>
          </w:tcPr>
          <w:p w14:paraId="42D0F338" w14:textId="77777777" w:rsidR="00304A73" w:rsidRPr="0038447A" w:rsidRDefault="00312C93" w:rsidP="00981677">
            <w:pPr>
              <w:ind w:right="-250" w:firstLine="0"/>
              <w:jc w:val="center"/>
              <w:rPr>
                <w:rFonts w:eastAsia="Calibri" w:cs="Times New Roman"/>
                <w:sz w:val="22"/>
              </w:rPr>
            </w:pPr>
            <w:r w:rsidRPr="0038447A">
              <w:rPr>
                <w:rFonts w:eastAsia="Calibri" w:cs="Times New Roman"/>
                <w:color w:val="000000" w:themeColor="text1"/>
                <w:sz w:val="22"/>
              </w:rPr>
              <w:t>25</w:t>
            </w:r>
          </w:p>
        </w:tc>
        <w:tc>
          <w:tcPr>
            <w:tcW w:w="1134" w:type="dxa"/>
            <w:shd w:val="clear" w:color="auto" w:fill="auto"/>
            <w:vAlign w:val="center"/>
          </w:tcPr>
          <w:p w14:paraId="42D0F339" w14:textId="77777777" w:rsidR="00304A73" w:rsidRPr="0038447A" w:rsidRDefault="00312C93" w:rsidP="00981677">
            <w:pPr>
              <w:ind w:right="-250" w:firstLine="0"/>
              <w:jc w:val="center"/>
              <w:rPr>
                <w:rFonts w:eastAsia="Calibri" w:cs="Times New Roman"/>
                <w:sz w:val="22"/>
              </w:rPr>
            </w:pPr>
            <w:r w:rsidRPr="0038447A">
              <w:rPr>
                <w:rFonts w:eastAsia="Calibri" w:cs="Times New Roman"/>
                <w:sz w:val="22"/>
              </w:rPr>
              <w:t>25</w:t>
            </w:r>
          </w:p>
        </w:tc>
        <w:tc>
          <w:tcPr>
            <w:tcW w:w="1134" w:type="dxa"/>
            <w:shd w:val="clear" w:color="auto" w:fill="auto"/>
            <w:vAlign w:val="center"/>
          </w:tcPr>
          <w:p w14:paraId="42D0F33A" w14:textId="77777777" w:rsidR="00304A73" w:rsidRPr="0038447A" w:rsidRDefault="00312C93" w:rsidP="00981677">
            <w:pPr>
              <w:ind w:right="-250" w:firstLine="0"/>
              <w:jc w:val="center"/>
              <w:rPr>
                <w:rFonts w:eastAsia="Calibri" w:cs="Times New Roman"/>
                <w:sz w:val="22"/>
              </w:rPr>
            </w:pPr>
            <w:r w:rsidRPr="0038447A">
              <w:rPr>
                <w:rFonts w:eastAsia="Calibri" w:cs="Times New Roman"/>
                <w:sz w:val="22"/>
              </w:rPr>
              <w:t>25</w:t>
            </w:r>
          </w:p>
        </w:tc>
      </w:tr>
      <w:tr w:rsidR="009A58F6" w:rsidRPr="0038447A" w14:paraId="42D0F343" w14:textId="77777777" w:rsidTr="00981677">
        <w:trPr>
          <w:trHeight w:val="96"/>
        </w:trPr>
        <w:tc>
          <w:tcPr>
            <w:tcW w:w="1668" w:type="dxa"/>
            <w:shd w:val="clear" w:color="auto" w:fill="auto"/>
          </w:tcPr>
          <w:p w14:paraId="42D0F33C" w14:textId="77777777" w:rsidR="009A58F6" w:rsidRPr="0038447A" w:rsidRDefault="00BF76C9" w:rsidP="005D3F00">
            <w:pPr>
              <w:ind w:firstLine="0"/>
              <w:jc w:val="left"/>
              <w:rPr>
                <w:rFonts w:eastAsia="Calibri" w:cs="Times New Roman"/>
                <w:sz w:val="22"/>
              </w:rPr>
            </w:pPr>
            <w:r w:rsidRPr="0038447A">
              <w:rPr>
                <w:rFonts w:eastAsia="Calibri" w:cs="Times New Roman"/>
                <w:sz w:val="22"/>
              </w:rPr>
              <w:t>3.1.2.</w:t>
            </w:r>
            <w:r w:rsidR="009A58F6" w:rsidRPr="0038447A">
              <w:rPr>
                <w:rFonts w:eastAsia="Calibri" w:cs="Times New Roman"/>
                <w:sz w:val="22"/>
              </w:rPr>
              <w:t>Mazinās priekšvēlēšanu aģitācijas kampaņu laikā pieļauto pārkāpumu skaits</w:t>
            </w:r>
          </w:p>
        </w:tc>
        <w:tc>
          <w:tcPr>
            <w:tcW w:w="2409" w:type="dxa"/>
            <w:shd w:val="clear" w:color="auto" w:fill="auto"/>
          </w:tcPr>
          <w:p w14:paraId="42D0F33D" w14:textId="77777777" w:rsidR="009A58F6" w:rsidRPr="0038447A" w:rsidRDefault="00891063" w:rsidP="005D3F00">
            <w:pPr>
              <w:ind w:firstLine="0"/>
              <w:jc w:val="left"/>
              <w:rPr>
                <w:rFonts w:eastAsia="Calibri" w:cs="Times New Roman"/>
                <w:sz w:val="22"/>
              </w:rPr>
            </w:pPr>
            <w:r w:rsidRPr="0038447A">
              <w:rPr>
                <w:rFonts w:eastAsia="Calibri" w:cs="Times New Roman"/>
                <w:sz w:val="22"/>
              </w:rPr>
              <w:t>3.2.2</w:t>
            </w:r>
            <w:r w:rsidR="00BF76C9" w:rsidRPr="0038447A">
              <w:rPr>
                <w:rFonts w:eastAsia="Calibri" w:cs="Times New Roman"/>
                <w:sz w:val="22"/>
              </w:rPr>
              <w:t>.</w:t>
            </w:r>
            <w:r w:rsidR="009A58F6" w:rsidRPr="0038447A">
              <w:rPr>
                <w:rFonts w:eastAsia="Calibri" w:cs="Times New Roman"/>
                <w:sz w:val="22"/>
              </w:rPr>
              <w:t>Priekšvēl</w:t>
            </w:r>
            <w:r w:rsidR="00CA3A34" w:rsidRPr="0038447A">
              <w:rPr>
                <w:rFonts w:eastAsia="Calibri" w:cs="Times New Roman"/>
                <w:sz w:val="22"/>
              </w:rPr>
              <w:t xml:space="preserve">ēšanu aģitācijas perioda laikā </w:t>
            </w:r>
            <w:r w:rsidR="009A58F6" w:rsidRPr="0038447A">
              <w:rPr>
                <w:rFonts w:eastAsia="Calibri" w:cs="Times New Roman"/>
                <w:sz w:val="22"/>
              </w:rPr>
              <w:t>apturēto pretlikumīgo priekšvēlēšanu kampaņu skaits</w:t>
            </w:r>
          </w:p>
        </w:tc>
        <w:tc>
          <w:tcPr>
            <w:tcW w:w="1134" w:type="dxa"/>
            <w:shd w:val="clear" w:color="auto" w:fill="auto"/>
            <w:vAlign w:val="center"/>
          </w:tcPr>
          <w:p w14:paraId="42D0F33E" w14:textId="77777777" w:rsidR="009A58F6" w:rsidRPr="0038447A" w:rsidRDefault="00405ACA" w:rsidP="00981677">
            <w:pPr>
              <w:ind w:firstLine="0"/>
              <w:jc w:val="center"/>
              <w:rPr>
                <w:rFonts w:eastAsia="Calibri" w:cs="Times New Roman"/>
                <w:sz w:val="22"/>
              </w:rPr>
            </w:pPr>
            <w:r w:rsidRPr="0038447A">
              <w:rPr>
                <w:rFonts w:eastAsia="Calibri" w:cs="Times New Roman"/>
                <w:sz w:val="22"/>
              </w:rPr>
              <w:t>0,</w:t>
            </w:r>
            <w:r w:rsidR="009A58F6" w:rsidRPr="0038447A">
              <w:rPr>
                <w:rFonts w:eastAsia="Calibri" w:cs="Times New Roman"/>
                <w:sz w:val="22"/>
              </w:rPr>
              <w:t>5%</w:t>
            </w:r>
          </w:p>
        </w:tc>
        <w:tc>
          <w:tcPr>
            <w:tcW w:w="1134" w:type="dxa"/>
            <w:shd w:val="clear" w:color="auto" w:fill="auto"/>
            <w:vAlign w:val="center"/>
          </w:tcPr>
          <w:p w14:paraId="42D0F33F" w14:textId="77777777" w:rsidR="009A58F6" w:rsidRPr="0038447A" w:rsidRDefault="00257FA7" w:rsidP="00981677">
            <w:pPr>
              <w:ind w:firstLine="0"/>
              <w:jc w:val="center"/>
              <w:rPr>
                <w:rFonts w:eastAsia="Calibri" w:cs="Times New Roman"/>
                <w:sz w:val="22"/>
              </w:rPr>
            </w:pPr>
            <w:r w:rsidRPr="0038447A">
              <w:rPr>
                <w:rFonts w:eastAsia="Calibri" w:cs="Times New Roman"/>
                <w:sz w:val="22"/>
              </w:rPr>
              <w:t>0,5%</w:t>
            </w:r>
          </w:p>
        </w:tc>
        <w:tc>
          <w:tcPr>
            <w:tcW w:w="1134" w:type="dxa"/>
            <w:shd w:val="clear" w:color="auto" w:fill="auto"/>
            <w:vAlign w:val="center"/>
          </w:tcPr>
          <w:p w14:paraId="42D0F340" w14:textId="77777777" w:rsidR="009A58F6" w:rsidRPr="0038447A" w:rsidRDefault="00257FA7" w:rsidP="00981677">
            <w:pPr>
              <w:ind w:firstLine="0"/>
              <w:jc w:val="center"/>
              <w:rPr>
                <w:rFonts w:eastAsia="Calibri" w:cs="Times New Roman"/>
                <w:sz w:val="22"/>
              </w:rPr>
            </w:pPr>
            <w:r w:rsidRPr="0038447A">
              <w:rPr>
                <w:rFonts w:eastAsia="Calibri" w:cs="Times New Roman"/>
                <w:sz w:val="22"/>
              </w:rPr>
              <w:t>0,5%</w:t>
            </w:r>
          </w:p>
        </w:tc>
        <w:tc>
          <w:tcPr>
            <w:tcW w:w="1134" w:type="dxa"/>
            <w:shd w:val="clear" w:color="auto" w:fill="auto"/>
            <w:vAlign w:val="center"/>
          </w:tcPr>
          <w:p w14:paraId="42D0F341" w14:textId="77777777" w:rsidR="009A58F6" w:rsidRPr="0038447A" w:rsidRDefault="00257FA7" w:rsidP="00981677">
            <w:pPr>
              <w:ind w:firstLine="0"/>
              <w:jc w:val="center"/>
              <w:rPr>
                <w:rFonts w:eastAsia="Calibri" w:cs="Times New Roman"/>
                <w:sz w:val="22"/>
              </w:rPr>
            </w:pPr>
            <w:r w:rsidRPr="0038447A">
              <w:rPr>
                <w:rFonts w:eastAsia="Calibri" w:cs="Times New Roman"/>
                <w:sz w:val="22"/>
              </w:rPr>
              <w:t>0,5%</w:t>
            </w:r>
          </w:p>
        </w:tc>
        <w:tc>
          <w:tcPr>
            <w:tcW w:w="1134" w:type="dxa"/>
            <w:shd w:val="clear" w:color="auto" w:fill="auto"/>
            <w:vAlign w:val="center"/>
          </w:tcPr>
          <w:p w14:paraId="42D0F342" w14:textId="77777777" w:rsidR="009A58F6" w:rsidRPr="0038447A" w:rsidRDefault="00257FA7" w:rsidP="00981677">
            <w:pPr>
              <w:ind w:firstLine="0"/>
              <w:jc w:val="center"/>
              <w:rPr>
                <w:rFonts w:eastAsia="Calibri" w:cs="Times New Roman"/>
                <w:sz w:val="22"/>
              </w:rPr>
            </w:pPr>
            <w:r w:rsidRPr="0038447A">
              <w:rPr>
                <w:rFonts w:eastAsia="Calibri" w:cs="Times New Roman"/>
                <w:sz w:val="22"/>
              </w:rPr>
              <w:t>0,5%</w:t>
            </w:r>
          </w:p>
        </w:tc>
      </w:tr>
      <w:tr w:rsidR="00257FA7" w:rsidRPr="0038447A" w14:paraId="42D0F34B" w14:textId="77777777" w:rsidTr="00981677">
        <w:trPr>
          <w:trHeight w:val="1771"/>
        </w:trPr>
        <w:tc>
          <w:tcPr>
            <w:tcW w:w="1668" w:type="dxa"/>
            <w:shd w:val="clear" w:color="auto" w:fill="auto"/>
          </w:tcPr>
          <w:p w14:paraId="42D0F344" w14:textId="77777777" w:rsidR="00257FA7" w:rsidRPr="0038447A" w:rsidRDefault="00257FA7" w:rsidP="005D3F00">
            <w:pPr>
              <w:ind w:firstLine="0"/>
              <w:jc w:val="left"/>
              <w:rPr>
                <w:rFonts w:eastAsia="Calibri" w:cs="Times New Roman"/>
                <w:sz w:val="22"/>
              </w:rPr>
            </w:pPr>
            <w:r w:rsidRPr="0038447A">
              <w:rPr>
                <w:rFonts w:eastAsia="Calibri" w:cs="Times New Roman"/>
                <w:sz w:val="22"/>
              </w:rPr>
              <w:lastRenderedPageBreak/>
              <w:t>3.3.3.Izskatot Biroja lēmumus tiesā, tiek atzīta Biroja pieņemto lēmumu likumība un pamatotība</w:t>
            </w:r>
          </w:p>
        </w:tc>
        <w:tc>
          <w:tcPr>
            <w:tcW w:w="2409" w:type="dxa"/>
            <w:shd w:val="clear" w:color="auto" w:fill="auto"/>
          </w:tcPr>
          <w:p w14:paraId="42D0F345" w14:textId="77777777" w:rsidR="00257FA7" w:rsidRPr="0038447A" w:rsidRDefault="00257FA7" w:rsidP="00CA2669">
            <w:pPr>
              <w:ind w:firstLine="0"/>
              <w:jc w:val="left"/>
              <w:rPr>
                <w:rFonts w:eastAsia="Calibri" w:cs="Times New Roman"/>
                <w:sz w:val="22"/>
              </w:rPr>
            </w:pPr>
            <w:r w:rsidRPr="0038447A">
              <w:rPr>
                <w:rFonts w:eastAsia="Calibri" w:cs="Times New Roman"/>
                <w:sz w:val="22"/>
              </w:rPr>
              <w:t xml:space="preserve">3.2.3.Pārskata gadā spēkā atstāto Biroja </w:t>
            </w:r>
            <w:r w:rsidR="004B34E1" w:rsidRPr="0038447A">
              <w:rPr>
                <w:sz w:val="22"/>
              </w:rPr>
              <w:t xml:space="preserve">lēmumu īpatsvars saistībā ar administratīvajiem pārkāpumiem un pretlikumīgu finanšu līdzekļu atmaksu, </w:t>
            </w:r>
            <w:r w:rsidRPr="0038447A">
              <w:rPr>
                <w:rFonts w:eastAsia="Calibri" w:cs="Times New Roman"/>
                <w:sz w:val="22"/>
              </w:rPr>
              <w:t xml:space="preserve">kas nav atcelti </w:t>
            </w:r>
          </w:p>
        </w:tc>
        <w:tc>
          <w:tcPr>
            <w:tcW w:w="1134" w:type="dxa"/>
            <w:shd w:val="clear" w:color="auto" w:fill="auto"/>
            <w:vAlign w:val="center"/>
          </w:tcPr>
          <w:p w14:paraId="42D0F346" w14:textId="77777777" w:rsidR="00257FA7" w:rsidRPr="0038447A" w:rsidRDefault="00257FA7" w:rsidP="00981677">
            <w:pPr>
              <w:ind w:firstLine="0"/>
              <w:jc w:val="center"/>
              <w:rPr>
                <w:rFonts w:eastAsia="Calibri" w:cs="Times New Roman"/>
                <w:sz w:val="22"/>
              </w:rPr>
            </w:pPr>
            <w:r w:rsidRPr="0038447A">
              <w:rPr>
                <w:rFonts w:eastAsia="Times New Roman" w:cs="Times New Roman"/>
                <w:sz w:val="22"/>
                <w:lang w:eastAsia="lv-LV"/>
              </w:rPr>
              <w:t>99,97%</w:t>
            </w:r>
          </w:p>
        </w:tc>
        <w:tc>
          <w:tcPr>
            <w:tcW w:w="1134" w:type="dxa"/>
            <w:shd w:val="clear" w:color="auto" w:fill="auto"/>
            <w:vAlign w:val="center"/>
          </w:tcPr>
          <w:p w14:paraId="42D0F347" w14:textId="77777777" w:rsidR="00257FA7" w:rsidRPr="0038447A" w:rsidRDefault="00257FA7" w:rsidP="00981677">
            <w:pPr>
              <w:ind w:firstLine="0"/>
              <w:jc w:val="center"/>
              <w:rPr>
                <w:rFonts w:eastAsia="Calibri" w:cs="Times New Roman"/>
                <w:sz w:val="22"/>
              </w:rPr>
            </w:pPr>
            <w:r w:rsidRPr="0038447A">
              <w:rPr>
                <w:rFonts w:eastAsia="Calibri" w:cs="Times New Roman"/>
                <w:sz w:val="22"/>
              </w:rPr>
              <w:t>100%</w:t>
            </w:r>
          </w:p>
        </w:tc>
        <w:tc>
          <w:tcPr>
            <w:tcW w:w="1134" w:type="dxa"/>
            <w:shd w:val="clear" w:color="auto" w:fill="auto"/>
            <w:vAlign w:val="center"/>
          </w:tcPr>
          <w:p w14:paraId="42D0F348" w14:textId="77777777" w:rsidR="00257FA7" w:rsidRPr="0038447A" w:rsidRDefault="00405ACA" w:rsidP="004D73B9">
            <w:pPr>
              <w:ind w:firstLine="0"/>
              <w:jc w:val="center"/>
              <w:rPr>
                <w:rFonts w:eastAsia="Calibri" w:cs="Times New Roman"/>
                <w:sz w:val="22"/>
              </w:rPr>
            </w:pPr>
            <w:r w:rsidRPr="0038447A">
              <w:rPr>
                <w:rFonts w:eastAsia="Times New Roman" w:cs="Times New Roman"/>
                <w:sz w:val="22"/>
                <w:lang w:eastAsia="lv-LV"/>
              </w:rPr>
              <w:t>9</w:t>
            </w:r>
            <w:r w:rsidR="004D73B9">
              <w:rPr>
                <w:rFonts w:eastAsia="Times New Roman" w:cs="Times New Roman"/>
                <w:sz w:val="22"/>
                <w:lang w:eastAsia="lv-LV"/>
              </w:rPr>
              <w:t>8</w:t>
            </w:r>
            <w:r w:rsidR="00257FA7" w:rsidRPr="0038447A">
              <w:rPr>
                <w:rFonts w:eastAsia="Times New Roman" w:cs="Times New Roman"/>
                <w:sz w:val="22"/>
                <w:lang w:eastAsia="lv-LV"/>
              </w:rPr>
              <w:t>%</w:t>
            </w:r>
          </w:p>
        </w:tc>
        <w:tc>
          <w:tcPr>
            <w:tcW w:w="1134" w:type="dxa"/>
            <w:shd w:val="clear" w:color="auto" w:fill="auto"/>
            <w:vAlign w:val="center"/>
          </w:tcPr>
          <w:p w14:paraId="42D0F349" w14:textId="77777777" w:rsidR="00257FA7" w:rsidRPr="0038447A" w:rsidRDefault="00405ACA" w:rsidP="004D73B9">
            <w:pPr>
              <w:ind w:firstLine="0"/>
              <w:jc w:val="center"/>
              <w:rPr>
                <w:rFonts w:eastAsia="Calibri" w:cs="Times New Roman"/>
                <w:sz w:val="22"/>
              </w:rPr>
            </w:pPr>
            <w:r w:rsidRPr="0038447A">
              <w:rPr>
                <w:rFonts w:eastAsia="Times New Roman" w:cs="Times New Roman"/>
                <w:sz w:val="22"/>
                <w:lang w:eastAsia="lv-LV"/>
              </w:rPr>
              <w:t>9</w:t>
            </w:r>
            <w:r w:rsidR="004D73B9">
              <w:rPr>
                <w:rFonts w:eastAsia="Times New Roman" w:cs="Times New Roman"/>
                <w:sz w:val="22"/>
                <w:lang w:eastAsia="lv-LV"/>
              </w:rPr>
              <w:t>8</w:t>
            </w:r>
            <w:r w:rsidR="00257FA7" w:rsidRPr="0038447A">
              <w:rPr>
                <w:rFonts w:eastAsia="Times New Roman" w:cs="Times New Roman"/>
                <w:sz w:val="22"/>
                <w:lang w:eastAsia="lv-LV"/>
              </w:rPr>
              <w:t>%</w:t>
            </w:r>
          </w:p>
        </w:tc>
        <w:tc>
          <w:tcPr>
            <w:tcW w:w="1134" w:type="dxa"/>
            <w:shd w:val="clear" w:color="auto" w:fill="auto"/>
            <w:vAlign w:val="center"/>
          </w:tcPr>
          <w:p w14:paraId="42D0F34A" w14:textId="77777777" w:rsidR="00257FA7" w:rsidRPr="0038447A" w:rsidRDefault="00405ACA" w:rsidP="004D73B9">
            <w:pPr>
              <w:ind w:firstLine="0"/>
              <w:jc w:val="center"/>
              <w:rPr>
                <w:rFonts w:eastAsia="Calibri" w:cs="Times New Roman"/>
                <w:sz w:val="22"/>
              </w:rPr>
            </w:pPr>
            <w:r w:rsidRPr="0038447A">
              <w:rPr>
                <w:rFonts w:eastAsia="Times New Roman" w:cs="Times New Roman"/>
                <w:sz w:val="22"/>
                <w:lang w:eastAsia="lv-LV"/>
              </w:rPr>
              <w:t>9</w:t>
            </w:r>
            <w:r w:rsidR="004D73B9">
              <w:rPr>
                <w:rFonts w:eastAsia="Times New Roman" w:cs="Times New Roman"/>
                <w:sz w:val="22"/>
                <w:lang w:eastAsia="lv-LV"/>
              </w:rPr>
              <w:t>8</w:t>
            </w:r>
            <w:r w:rsidR="00257FA7" w:rsidRPr="0038447A">
              <w:rPr>
                <w:rFonts w:eastAsia="Times New Roman" w:cs="Times New Roman"/>
                <w:sz w:val="22"/>
                <w:lang w:eastAsia="lv-LV"/>
              </w:rPr>
              <w:t>%</w:t>
            </w:r>
          </w:p>
        </w:tc>
      </w:tr>
    </w:tbl>
    <w:p w14:paraId="42D0F34C" w14:textId="77777777" w:rsidR="009A58F6" w:rsidRPr="0038447A" w:rsidRDefault="009A58F6" w:rsidP="009A58F6">
      <w:pPr>
        <w:pStyle w:val="NoSpacing"/>
        <w:rPr>
          <w:sz w:val="26"/>
          <w:szCs w:val="26"/>
        </w:rPr>
      </w:pPr>
    </w:p>
    <w:p w14:paraId="42D0F34D" w14:textId="77777777" w:rsidR="009A58F6" w:rsidRPr="0038447A" w:rsidRDefault="009A58F6" w:rsidP="009A58F6">
      <w:pPr>
        <w:spacing w:after="200" w:line="276" w:lineRule="auto"/>
        <w:ind w:firstLine="0"/>
        <w:jc w:val="left"/>
        <w:rPr>
          <w:b/>
          <w:sz w:val="26"/>
          <w:szCs w:val="26"/>
          <w:u w:val="single"/>
        </w:rPr>
      </w:pPr>
      <w:r w:rsidRPr="0038447A">
        <w:rPr>
          <w:b/>
          <w:sz w:val="26"/>
          <w:szCs w:val="26"/>
          <w:u w:val="single"/>
        </w:rPr>
        <w:t>Uzdevumi darbības virziena īstenošanai:</w:t>
      </w:r>
    </w:p>
    <w:p w14:paraId="42D0F34E" w14:textId="77777777" w:rsidR="00312C93" w:rsidRPr="0038447A" w:rsidRDefault="00C60CC9" w:rsidP="003A1281">
      <w:pPr>
        <w:pStyle w:val="ListParagraph"/>
        <w:numPr>
          <w:ilvl w:val="0"/>
          <w:numId w:val="40"/>
        </w:numPr>
        <w:ind w:left="284" w:hanging="284"/>
        <w:rPr>
          <w:rFonts w:eastAsia="Times New Roman" w:cs="Times New Roman"/>
          <w:sz w:val="26"/>
          <w:szCs w:val="26"/>
          <w:lang w:eastAsia="lv-LV"/>
        </w:rPr>
      </w:pPr>
      <w:r w:rsidRPr="0038447A">
        <w:rPr>
          <w:rFonts w:eastAsia="Times New Roman" w:cs="Times New Roman"/>
          <w:sz w:val="26"/>
          <w:szCs w:val="26"/>
          <w:lang w:eastAsia="lv-LV"/>
        </w:rPr>
        <w:t>sniegt priekšlikumus grozījumiem normatīvajos aktos,</w:t>
      </w:r>
      <w:r w:rsidR="00411D82" w:rsidRPr="00411D82">
        <w:rPr>
          <w:rFonts w:eastAsia="Times New Roman" w:cs="Times New Roman"/>
          <w:sz w:val="26"/>
          <w:szCs w:val="26"/>
          <w:lang w:eastAsia="lv-LV"/>
        </w:rPr>
        <w:t xml:space="preserve"> analizējot vēlēšanu kampaņu pieredzi un izvērtējot priekšvēlēšanu regulējumu, </w:t>
      </w:r>
      <w:r w:rsidR="00411D82">
        <w:rPr>
          <w:rFonts w:eastAsia="Times New Roman" w:cs="Times New Roman"/>
          <w:sz w:val="26"/>
          <w:szCs w:val="26"/>
          <w:lang w:eastAsia="lv-LV"/>
        </w:rPr>
        <w:t xml:space="preserve">tādējādi </w:t>
      </w:r>
      <w:r w:rsidRPr="0038447A">
        <w:rPr>
          <w:rFonts w:eastAsia="Times New Roman" w:cs="Times New Roman"/>
          <w:sz w:val="26"/>
          <w:szCs w:val="26"/>
          <w:lang w:eastAsia="lv-LV"/>
        </w:rPr>
        <w:t>pilnveido</w:t>
      </w:r>
      <w:r w:rsidR="004D73B9">
        <w:rPr>
          <w:rFonts w:eastAsia="Times New Roman" w:cs="Times New Roman"/>
          <w:sz w:val="26"/>
          <w:szCs w:val="26"/>
          <w:lang w:eastAsia="lv-LV"/>
        </w:rPr>
        <w:t>jot</w:t>
      </w:r>
      <w:r w:rsidRPr="0038447A">
        <w:rPr>
          <w:rFonts w:eastAsia="Times New Roman" w:cs="Times New Roman"/>
          <w:sz w:val="26"/>
          <w:szCs w:val="26"/>
          <w:lang w:eastAsia="lv-LV"/>
        </w:rPr>
        <w:t xml:space="preserve"> tiesisko regulējumu priekšvēlēšanu aģitācijas finanšu kontroles jomā, mazinot finanšu līdzekļu lomu politikā</w:t>
      </w:r>
      <w:r w:rsidR="00981677" w:rsidRPr="0038447A">
        <w:rPr>
          <w:rFonts w:eastAsia="Times New Roman" w:cs="Times New Roman"/>
          <w:sz w:val="26"/>
          <w:szCs w:val="26"/>
          <w:lang w:eastAsia="lv-LV"/>
        </w:rPr>
        <w:t>;</w:t>
      </w:r>
    </w:p>
    <w:p w14:paraId="42D0F34F" w14:textId="77777777" w:rsidR="00981677" w:rsidRPr="0038447A" w:rsidRDefault="00580844" w:rsidP="003A1281">
      <w:pPr>
        <w:pStyle w:val="ListParagraph"/>
        <w:numPr>
          <w:ilvl w:val="0"/>
          <w:numId w:val="40"/>
        </w:numPr>
        <w:ind w:left="284" w:hanging="284"/>
        <w:rPr>
          <w:rFonts w:eastAsia="Times New Roman" w:cs="Times New Roman"/>
          <w:sz w:val="26"/>
          <w:szCs w:val="26"/>
          <w:lang w:eastAsia="lv-LV"/>
        </w:rPr>
      </w:pPr>
      <w:r w:rsidRPr="0038447A">
        <w:rPr>
          <w:rFonts w:eastAsia="Times New Roman" w:cs="Times New Roman"/>
          <w:sz w:val="26"/>
          <w:szCs w:val="26"/>
          <w:lang w:eastAsia="lv-LV"/>
        </w:rPr>
        <w:t>uzlabot Biroja spējas informācijas, kas ir saistīta ar slēpto priekšvēlēšanu aģitāciju</w:t>
      </w:r>
      <w:r w:rsidR="004D73B9">
        <w:rPr>
          <w:rFonts w:eastAsia="Times New Roman" w:cs="Times New Roman"/>
          <w:sz w:val="26"/>
          <w:szCs w:val="26"/>
          <w:lang w:eastAsia="lv-LV"/>
        </w:rPr>
        <w:t xml:space="preserve"> un politisko partiju nelikumīgu finansēšanu</w:t>
      </w:r>
      <w:r w:rsidRPr="0038447A">
        <w:rPr>
          <w:rFonts w:eastAsia="Times New Roman" w:cs="Times New Roman"/>
          <w:sz w:val="26"/>
          <w:szCs w:val="26"/>
          <w:lang w:eastAsia="lv-LV"/>
        </w:rPr>
        <w:t>, ieguvē, apstrādē un analīzē</w:t>
      </w:r>
      <w:r w:rsidR="00981677" w:rsidRPr="0038447A">
        <w:rPr>
          <w:rFonts w:eastAsia="Times New Roman" w:cs="Times New Roman"/>
          <w:sz w:val="26"/>
          <w:szCs w:val="26"/>
          <w:lang w:eastAsia="lv-LV"/>
        </w:rPr>
        <w:t>;</w:t>
      </w:r>
    </w:p>
    <w:p w14:paraId="42D0F350" w14:textId="77777777" w:rsidR="004D73B9" w:rsidRDefault="00D12C5C" w:rsidP="004D73B9">
      <w:pPr>
        <w:pStyle w:val="ListParagraph"/>
        <w:numPr>
          <w:ilvl w:val="0"/>
          <w:numId w:val="40"/>
        </w:numPr>
        <w:ind w:left="284" w:hanging="284"/>
        <w:rPr>
          <w:rFonts w:eastAsia="Times New Roman" w:cs="Times New Roman"/>
          <w:sz w:val="26"/>
          <w:szCs w:val="26"/>
          <w:lang w:eastAsia="lv-LV"/>
        </w:rPr>
      </w:pPr>
      <w:r w:rsidRPr="0038447A">
        <w:rPr>
          <w:rFonts w:eastAsia="Times New Roman" w:cs="Times New Roman"/>
          <w:sz w:val="26"/>
          <w:szCs w:val="26"/>
          <w:lang w:eastAsia="lv-LV"/>
        </w:rPr>
        <w:t xml:space="preserve">ieviest </w:t>
      </w:r>
      <w:r w:rsidR="00602096">
        <w:rPr>
          <w:rFonts w:eastAsia="Times New Roman" w:cs="Times New Roman"/>
          <w:sz w:val="26"/>
          <w:szCs w:val="26"/>
          <w:lang w:eastAsia="lv-LV"/>
        </w:rPr>
        <w:t xml:space="preserve">politisko partiju finansēšanas </w:t>
      </w:r>
      <w:r w:rsidRPr="0038447A">
        <w:rPr>
          <w:rFonts w:eastAsia="Times New Roman" w:cs="Times New Roman"/>
          <w:sz w:val="26"/>
          <w:szCs w:val="26"/>
          <w:lang w:eastAsia="lv-LV"/>
        </w:rPr>
        <w:t xml:space="preserve">datu bāzi </w:t>
      </w:r>
      <w:r w:rsidR="00602096">
        <w:rPr>
          <w:rFonts w:eastAsia="Times New Roman" w:cs="Times New Roman"/>
          <w:sz w:val="26"/>
          <w:szCs w:val="26"/>
          <w:lang w:eastAsia="lv-LV"/>
        </w:rPr>
        <w:t>ar</w:t>
      </w:r>
      <w:r w:rsidRPr="0038447A">
        <w:rPr>
          <w:rFonts w:eastAsia="Times New Roman" w:cs="Times New Roman"/>
          <w:sz w:val="26"/>
          <w:szCs w:val="26"/>
          <w:lang w:eastAsia="lv-LV"/>
        </w:rPr>
        <w:t xml:space="preserve"> automātiskas informācijas ievadīšanas sistēmu</w:t>
      </w:r>
      <w:r w:rsidR="007465AA" w:rsidRPr="0038447A">
        <w:rPr>
          <w:rFonts w:eastAsia="Times New Roman" w:cs="Times New Roman"/>
          <w:sz w:val="26"/>
          <w:szCs w:val="26"/>
          <w:lang w:eastAsia="lv-LV"/>
        </w:rPr>
        <w:t>, kas uzlabotu Biroja analītisk</w:t>
      </w:r>
      <w:r w:rsidR="00602096">
        <w:rPr>
          <w:rFonts w:eastAsia="Times New Roman" w:cs="Times New Roman"/>
          <w:sz w:val="26"/>
          <w:szCs w:val="26"/>
          <w:lang w:eastAsia="lv-LV"/>
        </w:rPr>
        <w:t>o</w:t>
      </w:r>
      <w:r w:rsidR="007465AA" w:rsidRPr="0038447A">
        <w:rPr>
          <w:rFonts w:eastAsia="Times New Roman" w:cs="Times New Roman"/>
          <w:sz w:val="26"/>
          <w:szCs w:val="26"/>
          <w:lang w:eastAsia="lv-LV"/>
        </w:rPr>
        <w:t xml:space="preserve"> </w:t>
      </w:r>
      <w:r w:rsidR="00602096">
        <w:rPr>
          <w:rFonts w:eastAsia="Times New Roman" w:cs="Times New Roman"/>
          <w:sz w:val="26"/>
          <w:szCs w:val="26"/>
          <w:lang w:eastAsia="lv-LV"/>
        </w:rPr>
        <w:t>kapacitāti</w:t>
      </w:r>
      <w:r w:rsidR="007465AA" w:rsidRPr="0038447A">
        <w:rPr>
          <w:rFonts w:eastAsia="Times New Roman" w:cs="Times New Roman"/>
          <w:sz w:val="26"/>
          <w:szCs w:val="26"/>
          <w:lang w:eastAsia="lv-LV"/>
        </w:rPr>
        <w:t xml:space="preserve"> politisko partiju finansēšanas ko</w:t>
      </w:r>
      <w:r w:rsidR="00FD6378">
        <w:rPr>
          <w:rFonts w:eastAsia="Times New Roman" w:cs="Times New Roman"/>
          <w:sz w:val="26"/>
          <w:szCs w:val="26"/>
          <w:lang w:eastAsia="lv-LV"/>
        </w:rPr>
        <w:t>ntrolē un aģitācijas uzraudzībā</w:t>
      </w:r>
      <w:r w:rsidRPr="0038447A">
        <w:rPr>
          <w:rFonts w:eastAsia="Times New Roman" w:cs="Times New Roman"/>
          <w:sz w:val="26"/>
          <w:szCs w:val="26"/>
          <w:lang w:eastAsia="lv-LV"/>
        </w:rPr>
        <w:t>;</w:t>
      </w:r>
      <w:r w:rsidR="004D73B9">
        <w:rPr>
          <w:rFonts w:eastAsia="Times New Roman" w:cs="Times New Roman"/>
          <w:sz w:val="26"/>
          <w:szCs w:val="26"/>
          <w:lang w:eastAsia="lv-LV"/>
        </w:rPr>
        <w:t xml:space="preserve"> </w:t>
      </w:r>
    </w:p>
    <w:p w14:paraId="42D0F351" w14:textId="77777777" w:rsidR="004D73B9" w:rsidRPr="004D73B9" w:rsidRDefault="003B4FCA" w:rsidP="004D73B9">
      <w:pPr>
        <w:pStyle w:val="ListParagraph"/>
        <w:numPr>
          <w:ilvl w:val="0"/>
          <w:numId w:val="40"/>
        </w:numPr>
        <w:ind w:left="284" w:hanging="284"/>
        <w:rPr>
          <w:rFonts w:eastAsia="Times New Roman" w:cs="Times New Roman"/>
          <w:sz w:val="26"/>
          <w:szCs w:val="26"/>
          <w:lang w:eastAsia="lv-LV"/>
        </w:rPr>
      </w:pPr>
      <w:proofErr w:type="spellStart"/>
      <w:r w:rsidRPr="004D73B9">
        <w:rPr>
          <w:rFonts w:eastAsia="Times New Roman" w:cs="Times New Roman"/>
          <w:sz w:val="26"/>
          <w:szCs w:val="26"/>
          <w:lang w:eastAsia="lv-LV"/>
        </w:rPr>
        <w:t>efektivizēt</w:t>
      </w:r>
      <w:proofErr w:type="spellEnd"/>
      <w:r w:rsidRPr="004D73B9">
        <w:rPr>
          <w:rFonts w:eastAsia="Times New Roman" w:cs="Times New Roman"/>
          <w:sz w:val="26"/>
          <w:szCs w:val="26"/>
          <w:lang w:eastAsia="lv-LV"/>
        </w:rPr>
        <w:t xml:space="preserve"> politisko (partiju) ziedojumu (dāvinājumu) pārbaužu procedūras ar mērķi</w:t>
      </w:r>
      <w:r w:rsidR="004D73B9" w:rsidRPr="004D73B9">
        <w:rPr>
          <w:rFonts w:eastAsia="Times New Roman" w:cs="Times New Roman"/>
          <w:sz w:val="26"/>
          <w:szCs w:val="26"/>
          <w:lang w:eastAsia="lv-LV"/>
        </w:rPr>
        <w:t xml:space="preserve"> iespējami īsākos termiņos identificēt starpniecību ziedošanā politiskajām partijām.</w:t>
      </w:r>
    </w:p>
    <w:p w14:paraId="42D0F352" w14:textId="77777777" w:rsidR="009A58F6" w:rsidRPr="0038447A" w:rsidRDefault="009A58F6" w:rsidP="009A58F6">
      <w:pPr>
        <w:spacing w:before="100" w:beforeAutospacing="1" w:after="100" w:afterAutospacing="1"/>
        <w:ind w:firstLine="0"/>
        <w:jc w:val="left"/>
        <w:rPr>
          <w:rFonts w:eastAsia="Times New Roman" w:cs="Times New Roman"/>
          <w:sz w:val="26"/>
          <w:szCs w:val="26"/>
          <w:lang w:eastAsia="lv-LV"/>
        </w:rPr>
      </w:pPr>
      <w:r w:rsidRPr="0038447A">
        <w:rPr>
          <w:b/>
          <w:sz w:val="26"/>
          <w:szCs w:val="26"/>
          <w:u w:val="single"/>
        </w:rPr>
        <w:t>Iesaistītās iestādes:</w:t>
      </w:r>
    </w:p>
    <w:p w14:paraId="42D0F353" w14:textId="77777777" w:rsidR="00665E8D" w:rsidRDefault="00866197" w:rsidP="00665E8D">
      <w:pPr>
        <w:rPr>
          <w:sz w:val="26"/>
          <w:szCs w:val="26"/>
        </w:rPr>
      </w:pPr>
      <w:r w:rsidRPr="0038447A">
        <w:rPr>
          <w:sz w:val="26"/>
          <w:szCs w:val="26"/>
        </w:rPr>
        <w:t>Nav</w:t>
      </w:r>
    </w:p>
    <w:p w14:paraId="42D0F354" w14:textId="77777777" w:rsidR="00F47FAD" w:rsidRDefault="00F47FAD" w:rsidP="007E68E1">
      <w:pPr>
        <w:pStyle w:val="NoSpacing"/>
        <w:rPr>
          <w:b w:val="0"/>
          <w:sz w:val="26"/>
          <w:szCs w:val="26"/>
        </w:rPr>
      </w:pPr>
    </w:p>
    <w:p w14:paraId="42D0F355" w14:textId="77777777" w:rsidR="004709EE" w:rsidRPr="0038447A" w:rsidRDefault="004709EE" w:rsidP="004D73B9">
      <w:pPr>
        <w:pStyle w:val="ListParagraph"/>
        <w:keepNext/>
        <w:keepLines/>
        <w:numPr>
          <w:ilvl w:val="2"/>
          <w:numId w:val="29"/>
        </w:numPr>
        <w:tabs>
          <w:tab w:val="left" w:pos="0"/>
        </w:tabs>
        <w:spacing w:after="100" w:afterAutospacing="1"/>
        <w:ind w:left="0" w:firstLine="0"/>
        <w:jc w:val="center"/>
        <w:outlineLvl w:val="1"/>
        <w:rPr>
          <w:rFonts w:eastAsiaTheme="majorEastAsia" w:cstheme="majorBidi"/>
          <w:b/>
          <w:bCs/>
          <w:sz w:val="26"/>
          <w:szCs w:val="26"/>
        </w:rPr>
      </w:pPr>
      <w:bookmarkStart w:id="13" w:name="_Toc500150886"/>
      <w:r w:rsidRPr="0038447A">
        <w:rPr>
          <w:rFonts w:eastAsiaTheme="majorEastAsia" w:cstheme="majorBidi"/>
          <w:b/>
          <w:bCs/>
          <w:sz w:val="26"/>
          <w:szCs w:val="26"/>
        </w:rPr>
        <w:t xml:space="preserve">Sabiedrības informēšana </w:t>
      </w:r>
      <w:r w:rsidR="00A84216" w:rsidRPr="0038447A">
        <w:rPr>
          <w:rFonts w:eastAsiaTheme="majorEastAsia" w:cstheme="majorBidi"/>
          <w:b/>
          <w:bCs/>
          <w:sz w:val="26"/>
          <w:szCs w:val="26"/>
        </w:rPr>
        <w:t xml:space="preserve">par </w:t>
      </w:r>
      <w:r w:rsidRPr="0038447A">
        <w:rPr>
          <w:rFonts w:eastAsiaTheme="majorEastAsia" w:cstheme="majorBidi"/>
          <w:b/>
          <w:bCs/>
          <w:sz w:val="26"/>
          <w:szCs w:val="26"/>
        </w:rPr>
        <w:t>pretkorupcijas jautājum</w:t>
      </w:r>
      <w:r w:rsidR="00A84216" w:rsidRPr="0038447A">
        <w:rPr>
          <w:rFonts w:eastAsiaTheme="majorEastAsia" w:cstheme="majorBidi"/>
          <w:b/>
          <w:bCs/>
          <w:sz w:val="26"/>
          <w:szCs w:val="26"/>
        </w:rPr>
        <w:t>iem</w:t>
      </w:r>
      <w:bookmarkEnd w:id="13"/>
    </w:p>
    <w:p w14:paraId="42D0F356" w14:textId="77777777" w:rsidR="004709EE" w:rsidRPr="0038447A" w:rsidRDefault="006031C1" w:rsidP="004709EE">
      <w:pPr>
        <w:spacing w:after="200" w:line="276" w:lineRule="auto"/>
        <w:ind w:firstLine="0"/>
        <w:jc w:val="left"/>
        <w:rPr>
          <w:sz w:val="26"/>
          <w:szCs w:val="26"/>
        </w:rPr>
      </w:pPr>
      <w:r w:rsidRPr="0038447A">
        <w:rPr>
          <w:b/>
          <w:sz w:val="26"/>
          <w:szCs w:val="26"/>
          <w:u w:val="single"/>
        </w:rPr>
        <w:t>Esošās s</w:t>
      </w:r>
      <w:r w:rsidR="004709EE" w:rsidRPr="0038447A">
        <w:rPr>
          <w:b/>
          <w:sz w:val="26"/>
          <w:szCs w:val="26"/>
          <w:u w:val="single"/>
        </w:rPr>
        <w:t xml:space="preserve">ituācijas apraksts: </w:t>
      </w:r>
    </w:p>
    <w:p w14:paraId="42D0F357" w14:textId="77777777" w:rsidR="004D73B9" w:rsidRDefault="004D73B9" w:rsidP="00A84216">
      <w:pPr>
        <w:ind w:firstLine="709"/>
        <w:rPr>
          <w:sz w:val="26"/>
          <w:szCs w:val="26"/>
        </w:rPr>
      </w:pPr>
      <w:r>
        <w:rPr>
          <w:sz w:val="26"/>
          <w:szCs w:val="26"/>
        </w:rPr>
        <w:t xml:space="preserve">Birojs </w:t>
      </w:r>
      <w:r w:rsidRPr="004D73B9">
        <w:rPr>
          <w:sz w:val="26"/>
          <w:szCs w:val="26"/>
        </w:rPr>
        <w:t>izglīto sabiedrību tiesību un ētikas jomā</w:t>
      </w:r>
      <w:r>
        <w:rPr>
          <w:sz w:val="26"/>
          <w:szCs w:val="26"/>
        </w:rPr>
        <w:t xml:space="preserve">, </w:t>
      </w:r>
      <w:r w:rsidRPr="004D73B9">
        <w:rPr>
          <w:sz w:val="26"/>
          <w:szCs w:val="26"/>
        </w:rPr>
        <w:t>informē par korupcijas attīstības tendencēm un atklātajiem korupcijas gadījumiem, kā arī par veiktajiem pasākumiem korupcijas novēršan</w:t>
      </w:r>
      <w:r w:rsidR="003D5735">
        <w:rPr>
          <w:sz w:val="26"/>
          <w:szCs w:val="26"/>
        </w:rPr>
        <w:t>ā</w:t>
      </w:r>
      <w:r w:rsidRPr="004D73B9">
        <w:rPr>
          <w:sz w:val="26"/>
          <w:szCs w:val="26"/>
        </w:rPr>
        <w:t xml:space="preserve"> un apkarošan</w:t>
      </w:r>
      <w:r w:rsidR="003D5735">
        <w:rPr>
          <w:sz w:val="26"/>
          <w:szCs w:val="26"/>
        </w:rPr>
        <w:t>ā</w:t>
      </w:r>
      <w:r>
        <w:rPr>
          <w:sz w:val="26"/>
          <w:szCs w:val="26"/>
        </w:rPr>
        <w:t>.</w:t>
      </w:r>
    </w:p>
    <w:p w14:paraId="42D0F358" w14:textId="77777777" w:rsidR="00A84216" w:rsidRPr="0038447A" w:rsidRDefault="00A84216" w:rsidP="00A84216">
      <w:pPr>
        <w:ind w:firstLine="709"/>
        <w:rPr>
          <w:sz w:val="26"/>
          <w:szCs w:val="26"/>
        </w:rPr>
      </w:pPr>
      <w:r w:rsidRPr="0038447A">
        <w:rPr>
          <w:sz w:val="26"/>
          <w:szCs w:val="26"/>
        </w:rPr>
        <w:t xml:space="preserve">Būtisks uzdevums </w:t>
      </w:r>
      <w:r w:rsidR="0042500D">
        <w:rPr>
          <w:sz w:val="26"/>
          <w:szCs w:val="26"/>
        </w:rPr>
        <w:t>ir</w:t>
      </w:r>
      <w:r w:rsidR="0042500D" w:rsidRPr="0038447A">
        <w:rPr>
          <w:sz w:val="26"/>
          <w:szCs w:val="26"/>
        </w:rPr>
        <w:t xml:space="preserve"> </w:t>
      </w:r>
      <w:r w:rsidRPr="0038447A">
        <w:rPr>
          <w:sz w:val="26"/>
          <w:szCs w:val="26"/>
        </w:rPr>
        <w:t>izstrādāt, apstiprināt un ieviest jaunu komunikācijas un izglītošanas stratēģiju, skaidri formulējot prioritātes, komunikāciju veidus un formas, auditorijas un ieviešot uzlabojumus, lai pilnveidotu Biroja kompetences ietvaros rīkotos seminārus un apmācības</w:t>
      </w:r>
      <w:r w:rsidR="004709EE" w:rsidRPr="0038447A">
        <w:rPr>
          <w:sz w:val="26"/>
          <w:szCs w:val="26"/>
        </w:rPr>
        <w:t xml:space="preserve">. </w:t>
      </w:r>
      <w:r w:rsidR="005916C6">
        <w:rPr>
          <w:sz w:val="26"/>
          <w:szCs w:val="26"/>
        </w:rPr>
        <w:t>K</w:t>
      </w:r>
      <w:r w:rsidR="004D7847">
        <w:rPr>
          <w:sz w:val="26"/>
          <w:szCs w:val="26"/>
        </w:rPr>
        <w:t xml:space="preserve">omunikācijas un sabiedrisko aktivitāšu </w:t>
      </w:r>
      <w:r w:rsidR="00857451">
        <w:rPr>
          <w:sz w:val="26"/>
          <w:szCs w:val="26"/>
        </w:rPr>
        <w:t xml:space="preserve">rezultātā svarīgi </w:t>
      </w:r>
      <w:r w:rsidR="005916C6">
        <w:rPr>
          <w:sz w:val="26"/>
          <w:szCs w:val="26"/>
        </w:rPr>
        <w:t xml:space="preserve">ir </w:t>
      </w:r>
      <w:r w:rsidR="00241F3B">
        <w:rPr>
          <w:sz w:val="26"/>
          <w:szCs w:val="26"/>
        </w:rPr>
        <w:t xml:space="preserve">uzlabot </w:t>
      </w:r>
      <w:r w:rsidR="005916C6">
        <w:rPr>
          <w:sz w:val="26"/>
          <w:szCs w:val="26"/>
        </w:rPr>
        <w:t xml:space="preserve">arī </w:t>
      </w:r>
      <w:r w:rsidR="00241F3B">
        <w:rPr>
          <w:sz w:val="26"/>
          <w:szCs w:val="26"/>
        </w:rPr>
        <w:t>Biroja tēlu un reputāciju kopumā.</w:t>
      </w:r>
    </w:p>
    <w:p w14:paraId="42D0F359" w14:textId="77777777" w:rsidR="00A84216" w:rsidRPr="0038447A" w:rsidRDefault="00A84216" w:rsidP="00A84216">
      <w:pPr>
        <w:ind w:firstLine="709"/>
        <w:rPr>
          <w:sz w:val="26"/>
          <w:szCs w:val="26"/>
        </w:rPr>
      </w:pPr>
      <w:r w:rsidRPr="0038447A">
        <w:rPr>
          <w:sz w:val="26"/>
          <w:szCs w:val="26"/>
        </w:rPr>
        <w:t xml:space="preserve">Jānorāda, ka institūciju pieprasījums pēc izglītošanas pasākumiem ir ļoti liels, savukārt Biroja kapacitāte ierobežota. Pēdējos trīs gadus semināri tiek nodrošināti pieteikšanās secībā tām institūcijām, kas izsaka vēlēšanos pēc šāda veida apmācībām. Tādējādi </w:t>
      </w:r>
      <w:r w:rsidR="00592976">
        <w:rPr>
          <w:sz w:val="26"/>
          <w:szCs w:val="26"/>
        </w:rPr>
        <w:t xml:space="preserve">nepietiekama uzmanība </w:t>
      </w:r>
      <w:r w:rsidRPr="0038447A">
        <w:rPr>
          <w:sz w:val="26"/>
          <w:szCs w:val="26"/>
        </w:rPr>
        <w:t xml:space="preserve">tiek </w:t>
      </w:r>
      <w:r w:rsidR="00592976">
        <w:rPr>
          <w:sz w:val="26"/>
          <w:szCs w:val="26"/>
        </w:rPr>
        <w:t>pievērsta</w:t>
      </w:r>
      <w:r w:rsidR="00592976" w:rsidRPr="0038447A">
        <w:rPr>
          <w:sz w:val="26"/>
          <w:szCs w:val="26"/>
        </w:rPr>
        <w:t xml:space="preserve"> </w:t>
      </w:r>
      <w:r w:rsidRPr="0038447A">
        <w:rPr>
          <w:sz w:val="26"/>
          <w:szCs w:val="26"/>
        </w:rPr>
        <w:t xml:space="preserve">plānveida </w:t>
      </w:r>
      <w:proofErr w:type="spellStart"/>
      <w:r w:rsidRPr="0038447A">
        <w:rPr>
          <w:sz w:val="26"/>
          <w:szCs w:val="26"/>
        </w:rPr>
        <w:t>prevencija</w:t>
      </w:r>
      <w:r w:rsidR="004D73B9">
        <w:rPr>
          <w:sz w:val="26"/>
          <w:szCs w:val="26"/>
        </w:rPr>
        <w:t>i</w:t>
      </w:r>
      <w:proofErr w:type="spellEnd"/>
      <w:r w:rsidRPr="0038447A">
        <w:rPr>
          <w:sz w:val="26"/>
          <w:szCs w:val="26"/>
        </w:rPr>
        <w:t>, proti – netiek pievērsta pietiekama uzmanība, lai nodrošinātu apmācību pasākumus institūcijās, kurās ir paaugstināts korupcijas risks. Attiecīgi ir nepieciešams gan noteikt konkrētas prioritātes, analizējot krimināllietās un administratīvo pārkāpumu lietās konstatēto, gan arī rast jaunas pieejas citu ieinteresēto institūciju apmācībā.</w:t>
      </w:r>
    </w:p>
    <w:p w14:paraId="42D0F35A" w14:textId="77777777" w:rsidR="00A84216" w:rsidRPr="0038447A" w:rsidRDefault="00A84216" w:rsidP="00A84216">
      <w:pPr>
        <w:pStyle w:val="NoSpacing"/>
        <w:jc w:val="both"/>
        <w:rPr>
          <w:b w:val="0"/>
          <w:sz w:val="26"/>
          <w:szCs w:val="26"/>
        </w:rPr>
      </w:pPr>
      <w:r w:rsidRPr="0038447A">
        <w:rPr>
          <w:b w:val="0"/>
          <w:sz w:val="26"/>
          <w:szCs w:val="26"/>
        </w:rPr>
        <w:tab/>
        <w:t xml:space="preserve">Sākot ar 2014.gadu, semināru noslēgumā tiek veikta dalībnieku zināšanu testēšana papīra formātā, rezultātus apkopojot manuāli. Lai nodrošinātu mūsdienīgu, </w:t>
      </w:r>
      <w:r w:rsidRPr="0038447A">
        <w:rPr>
          <w:b w:val="0"/>
          <w:sz w:val="26"/>
          <w:szCs w:val="26"/>
        </w:rPr>
        <w:lastRenderedPageBreak/>
        <w:t>ērtu informācijas iegūšanu par valsts amatpersonu zināšanu līmeni pretkorupcijas jautājumos konkrētā institūcijā, jomā un valstī kopumā, ieviešama zināšanu testēšana elektroniskā vidē. 2015.gada nogalē ir panākta vienošanās ar Valsts administrācijas skolu par to, ka iespēja pārbaudīt valsts amatpersonu zināšanu elektroniski tiks iestrādāta Valsts administrācijas skolas īstenotā Eiropas struktūrfondu projekta “Valsts pārvaldes cilvēkresursu profesionālā pilnveide korupcijas novēršanas un ēnu ekonomikas mazināšanas jomā” ietvaros izstrādātajā Mācību pārvaldības sistēmā.</w:t>
      </w:r>
    </w:p>
    <w:p w14:paraId="42D0F35B" w14:textId="77777777" w:rsidR="00A84216" w:rsidRPr="0038447A" w:rsidRDefault="00A84216" w:rsidP="00A84216">
      <w:pPr>
        <w:pStyle w:val="NoSpacing"/>
        <w:jc w:val="both"/>
        <w:rPr>
          <w:b w:val="0"/>
          <w:sz w:val="26"/>
          <w:szCs w:val="26"/>
        </w:rPr>
      </w:pPr>
      <w:r w:rsidRPr="0038447A">
        <w:rPr>
          <w:b w:val="0"/>
          <w:sz w:val="26"/>
          <w:szCs w:val="26"/>
        </w:rPr>
        <w:tab/>
        <w:t xml:space="preserve">Lai nodrošinātu ilgtspējīgu pieeju izglītošanas jautājumiem, Birojs turpinās attīstīt un pilnveidot </w:t>
      </w:r>
      <w:proofErr w:type="spellStart"/>
      <w:r w:rsidRPr="0038447A">
        <w:rPr>
          <w:b w:val="0"/>
          <w:sz w:val="26"/>
          <w:szCs w:val="26"/>
        </w:rPr>
        <w:t>tālākizglītotāju</w:t>
      </w:r>
      <w:proofErr w:type="spellEnd"/>
      <w:r w:rsidRPr="0038447A">
        <w:rPr>
          <w:b w:val="0"/>
          <w:sz w:val="26"/>
          <w:szCs w:val="26"/>
        </w:rPr>
        <w:t xml:space="preserve"> apmācību modeli </w:t>
      </w:r>
      <w:r w:rsidRPr="0038447A">
        <w:rPr>
          <w:b w:val="0"/>
          <w:i/>
          <w:sz w:val="26"/>
          <w:szCs w:val="26"/>
        </w:rPr>
        <w:t>(</w:t>
      </w:r>
      <w:proofErr w:type="spellStart"/>
      <w:r w:rsidR="00857451">
        <w:rPr>
          <w:b w:val="0"/>
          <w:i/>
          <w:sz w:val="26"/>
          <w:szCs w:val="26"/>
        </w:rPr>
        <w:t>T</w:t>
      </w:r>
      <w:r w:rsidRPr="0038447A">
        <w:rPr>
          <w:b w:val="0"/>
          <w:i/>
          <w:sz w:val="26"/>
          <w:szCs w:val="26"/>
        </w:rPr>
        <w:t>rain</w:t>
      </w:r>
      <w:proofErr w:type="spellEnd"/>
      <w:r w:rsidRPr="0038447A">
        <w:rPr>
          <w:b w:val="0"/>
          <w:i/>
          <w:sz w:val="26"/>
          <w:szCs w:val="26"/>
        </w:rPr>
        <w:t xml:space="preserve"> </w:t>
      </w:r>
      <w:proofErr w:type="spellStart"/>
      <w:r w:rsidRPr="0038447A">
        <w:rPr>
          <w:b w:val="0"/>
          <w:i/>
          <w:sz w:val="26"/>
          <w:szCs w:val="26"/>
        </w:rPr>
        <w:t>the</w:t>
      </w:r>
      <w:proofErr w:type="spellEnd"/>
      <w:r w:rsidRPr="0038447A">
        <w:rPr>
          <w:b w:val="0"/>
          <w:i/>
          <w:sz w:val="26"/>
          <w:szCs w:val="26"/>
        </w:rPr>
        <w:t xml:space="preserve"> </w:t>
      </w:r>
      <w:proofErr w:type="spellStart"/>
      <w:r w:rsidRPr="0038447A">
        <w:rPr>
          <w:b w:val="0"/>
          <w:i/>
          <w:sz w:val="26"/>
          <w:szCs w:val="26"/>
        </w:rPr>
        <w:t>trainers</w:t>
      </w:r>
      <w:proofErr w:type="spellEnd"/>
      <w:r w:rsidRPr="0038447A">
        <w:rPr>
          <w:b w:val="0"/>
          <w:i/>
          <w:sz w:val="26"/>
          <w:szCs w:val="26"/>
        </w:rPr>
        <w:t>)</w:t>
      </w:r>
      <w:r w:rsidRPr="0038447A">
        <w:rPr>
          <w:b w:val="0"/>
          <w:sz w:val="26"/>
          <w:szCs w:val="26"/>
        </w:rPr>
        <w:t xml:space="preserve">. Šī modeļa ietvaros tiek nodrošināta valsts un pašvaldību institūciju, arī publiskas personas kapitālsabiedrību, pārstāvju sagatavošana, kuri savukārt tālāk varētu pretkorupcijas jautājumos apmācīt savās institūcijās strādājošās amatpersonas. </w:t>
      </w:r>
      <w:proofErr w:type="spellStart"/>
      <w:r w:rsidRPr="0038447A">
        <w:rPr>
          <w:b w:val="0"/>
          <w:sz w:val="26"/>
          <w:szCs w:val="26"/>
        </w:rPr>
        <w:t>Tālākizglītotāji</w:t>
      </w:r>
      <w:proofErr w:type="spellEnd"/>
      <w:r w:rsidRPr="0038447A">
        <w:rPr>
          <w:b w:val="0"/>
          <w:sz w:val="26"/>
          <w:szCs w:val="26"/>
        </w:rPr>
        <w:t xml:space="preserve"> šobrīd apmāca savu institūciju amatpersonas interešu konflikta novēršanas pamatjautājumos, bet nākotnē institūcijas vadītāja uzdevumā varētu veikt iekšējā uzrauga funkcijas, sniedzot institūcijas vadītājam atbalstu efektīvas iekšējās kontroles sistēmas korupcijas un interešu konflikta risku novēršanai ieviešanai un uzturēšanai. Minētā modeļa ietvaros atsevišķas apmācības būtu organizējamas arī tām valsts vai pašvaldību institūciju amatpersonām, kuras savās institūcijās ir atbildīgas par iekšējo kontroli, nodrošinot apmācības par to, kā izveidot un realizēt efektīvu iekšējo kontroli interešu konflikta un korupcijas risku novēršanai</w:t>
      </w:r>
      <w:r w:rsidR="007465AA" w:rsidRPr="0038447A">
        <w:rPr>
          <w:b w:val="0"/>
          <w:sz w:val="26"/>
          <w:szCs w:val="26"/>
        </w:rPr>
        <w:t>.</w:t>
      </w:r>
    </w:p>
    <w:p w14:paraId="42D0F35C" w14:textId="77777777" w:rsidR="00A84216" w:rsidRPr="0038447A" w:rsidRDefault="00A21932" w:rsidP="00A84216">
      <w:pPr>
        <w:pStyle w:val="NoSpacing"/>
        <w:jc w:val="both"/>
        <w:rPr>
          <w:b w:val="0"/>
          <w:sz w:val="26"/>
          <w:szCs w:val="26"/>
        </w:rPr>
      </w:pPr>
      <w:r w:rsidRPr="0038447A">
        <w:rPr>
          <w:b w:val="0"/>
          <w:sz w:val="26"/>
          <w:szCs w:val="26"/>
        </w:rPr>
        <w:tab/>
        <w:t>Papildus minētajam, nepieciešams strādāt pie jauniešu un studentu izglītošanas, lai preventīvi veicinātu jaunās paaudzes neiecietību pret korupciju un informētu par tās kaitīgajām sekām, tādējādi palielinot uzticību un paļāvību Birojam kā taisnīgai, neatkarīgai un kompetentai iestādei, veicinot nākotnē arvien lielāku sabiedrības gatavību ziņot par koruptīvām darbībām un nebūt vienaldzīgiem. Svarīgi ir turpināt iesākto sadarbību ar Valsts izglītības satura centru, gan izglītojot mācību priekšmetu skolotājus par pretkorupcijas jautājumiem, gan, ievērojot Valsts izglītības standartā un mācību priekšmetu programmās noteikto, izstrādājot un piedāvājot izglītības iestādēm dažāda veida mācību un metodiskos materiālus. Vienlaikus nepieciešams stiprināt sadarbību ar augstākajām izglītības iestādēm, lai tās savās studiju programmās iekļautu pretkorupcijas tēmu.</w:t>
      </w:r>
    </w:p>
    <w:p w14:paraId="42D0F35D" w14:textId="77777777" w:rsidR="00A21932" w:rsidRPr="0038447A" w:rsidRDefault="00A21932" w:rsidP="00A84216">
      <w:pPr>
        <w:pStyle w:val="NoSpacing"/>
        <w:jc w:val="both"/>
        <w:rPr>
          <w:b w:val="0"/>
          <w:sz w:val="26"/>
          <w:szCs w:val="26"/>
        </w:rPr>
      </w:pPr>
      <w:r w:rsidRPr="0038447A">
        <w:rPr>
          <w:b w:val="0"/>
          <w:sz w:val="26"/>
          <w:szCs w:val="26"/>
        </w:rPr>
        <w:tab/>
        <w:t>Ar mērķi veicināt uzņēmēju izpratni par godprātīgu un tiesisku komerciālo darbību, Birojs ir uzsācis uzņēmēju izglītošanu par pretkorupcijas jautājumiem un iekšējās pretkorupcijas kontroles sistēmas stiprināšanu. Arī turpmāk aktīvi jāstrādā uzņēmēju izglītošanas un informēšanas jomā. Būtiski ir aicināt uzņēmējus novērtēt korupcijas riskus un ieviest efektīvus risku novēršanas pasākumus, lai nepieļautu kukuļošanu, kā arī īpašu uzmanību pievērst ārvalstu amatpersonu kukuļošanas nepieļaujamībai.</w:t>
      </w:r>
    </w:p>
    <w:p w14:paraId="42D0F35E" w14:textId="77777777" w:rsidR="00A21932" w:rsidRPr="0038447A" w:rsidRDefault="00A21932" w:rsidP="00A84216">
      <w:pPr>
        <w:pStyle w:val="NoSpacing"/>
        <w:jc w:val="both"/>
        <w:rPr>
          <w:b w:val="0"/>
          <w:sz w:val="26"/>
          <w:szCs w:val="26"/>
        </w:rPr>
      </w:pPr>
      <w:r w:rsidRPr="0038447A">
        <w:rPr>
          <w:b w:val="0"/>
          <w:sz w:val="26"/>
          <w:szCs w:val="26"/>
        </w:rPr>
        <w:tab/>
        <w:t xml:space="preserve">Līdz šim Birojs ikgadējo sociālo kampaņu ietvaros kā vizuālos materiālus visbiežāk izmantoja jauniešu zīmējumu konkursu darbus, kas nepietiekami efektīvi uzrunāja konkrēto mērķauditoriju. Tāpat profesionāli pakalpojumi nav </w:t>
      </w:r>
      <w:r w:rsidR="00E02805">
        <w:rPr>
          <w:b w:val="0"/>
          <w:sz w:val="26"/>
          <w:szCs w:val="26"/>
        </w:rPr>
        <w:t>izmantoti</w:t>
      </w:r>
      <w:r w:rsidR="00E02805" w:rsidRPr="0038447A">
        <w:rPr>
          <w:b w:val="0"/>
          <w:sz w:val="26"/>
          <w:szCs w:val="26"/>
        </w:rPr>
        <w:t xml:space="preserve"> </w:t>
      </w:r>
      <w:r w:rsidRPr="0038447A">
        <w:rPr>
          <w:b w:val="0"/>
          <w:sz w:val="26"/>
          <w:szCs w:val="26"/>
        </w:rPr>
        <w:t xml:space="preserve">mērķtiecīgai ilgtermiņa sociālās kampaņas izstrādei un īstenošanai, kā arī esošo informatīvo kanālu novērtēšanai un uzlabošanai. Birojam ir jāveido mērķtiecīga sadarbība ar dažādiem mediju pārstāvjiem, kuriem ir ietekme sabiedrības domas veidošanā. Būtiski ir izveidot efektīvu komunikāciju sociālajos medijos, kas mūsdienās ir svarīgs iestādes tēla veidošanas mehānisms. Tādējādi, lai veicinātu sabiedrības izpratni par korupcijas negatīvo ietekmi un sekmētu vēlēšanos ziņot par novērotajiem pārkāpumiem, jāīsteno profesionāla ilgtermiņa sociālā kampaņa, aptverot </w:t>
      </w:r>
      <w:r w:rsidRPr="0038447A">
        <w:rPr>
          <w:b w:val="0"/>
          <w:sz w:val="26"/>
          <w:szCs w:val="26"/>
        </w:rPr>
        <w:lastRenderedPageBreak/>
        <w:t>visus sabiedrisko attiecību mehānismus. Lai nodrošinātu to, ka sociālā kampaņa ir efektīva un sasniedz gaidītos rezultātus, plānošanas un organizēšanas procesā ir jāiesaista attiecīgās jomas profesionāļi (ārpakalpojums), kā arī iespēju robežās jāiesaista sadarbības partneri, tādējādi cita starpā dodot sabiedrībai signālu, ka Birojs nav viens savos mērķos un darbībā.</w:t>
      </w:r>
    </w:p>
    <w:p w14:paraId="42D0F35F" w14:textId="77777777" w:rsidR="005A11F2" w:rsidRPr="0038447A" w:rsidRDefault="005A11F2" w:rsidP="00A84216">
      <w:pPr>
        <w:pStyle w:val="NoSpacing"/>
        <w:jc w:val="both"/>
        <w:rPr>
          <w:b w:val="0"/>
          <w:sz w:val="26"/>
          <w:szCs w:val="26"/>
        </w:rPr>
      </w:pPr>
      <w:r w:rsidRPr="0038447A">
        <w:rPr>
          <w:b w:val="0"/>
          <w:sz w:val="26"/>
          <w:szCs w:val="26"/>
        </w:rPr>
        <w:tab/>
        <w:t>Ar mērķi mainīt sabiedrības viedoklis par Biroja darbību, tai skaitā, nodrošinot sabiedrības un konkrētu mērķauditoriju informētību gan par Biroja kompetenci un sasniegtajiem rezultātiem, gan par īstenotajiem pretkorupcijas pasākumiem, Birojs veiks dažādu pasākumu kopumu. Vienlaikus minētajiem pasākumiem jāsekmē sabiedrības uzticēšanās palielināšanās Birojam kā taisnīgai, neatkarīgai un kompetentai iestādei, veicinot sabiedrības gatavību ziņot par koruptīvām darbībām, nebūt vienaldzīgiem.</w:t>
      </w:r>
    </w:p>
    <w:p w14:paraId="42D0F360" w14:textId="77777777" w:rsidR="00A21932" w:rsidRPr="001517B5" w:rsidRDefault="00A21932" w:rsidP="00A84216">
      <w:pPr>
        <w:pStyle w:val="NoSpacing"/>
        <w:jc w:val="both"/>
        <w:rPr>
          <w:b w:val="0"/>
          <w:sz w:val="26"/>
          <w:szCs w:val="26"/>
        </w:rPr>
      </w:pPr>
    </w:p>
    <w:p w14:paraId="42D0F361" w14:textId="77777777" w:rsidR="004709EE" w:rsidRPr="0038447A" w:rsidRDefault="004709EE" w:rsidP="004709EE">
      <w:pPr>
        <w:spacing w:after="200" w:line="276" w:lineRule="auto"/>
        <w:ind w:firstLine="0"/>
        <w:jc w:val="left"/>
        <w:rPr>
          <w:b/>
          <w:sz w:val="26"/>
          <w:szCs w:val="26"/>
          <w:u w:val="single"/>
        </w:rPr>
      </w:pPr>
      <w:r w:rsidRPr="0038447A">
        <w:rPr>
          <w:b/>
          <w:sz w:val="26"/>
          <w:szCs w:val="26"/>
          <w:u w:val="single"/>
        </w:rPr>
        <w:t xml:space="preserve">Darbības virziena mērķis: </w:t>
      </w:r>
    </w:p>
    <w:p w14:paraId="42D0F362" w14:textId="77777777" w:rsidR="00A21932" w:rsidRDefault="00A21932" w:rsidP="00A21932">
      <w:pPr>
        <w:rPr>
          <w:sz w:val="26"/>
          <w:szCs w:val="26"/>
        </w:rPr>
      </w:pPr>
      <w:r w:rsidRPr="0038447A">
        <w:rPr>
          <w:sz w:val="26"/>
          <w:szCs w:val="26"/>
        </w:rPr>
        <w:t xml:space="preserve">Paaugstināt sabiedrības uzticību Birojam, veidojot pozitīvu Biroja tēlu un vairojot tā autoritāti sabiedrībā. </w:t>
      </w:r>
    </w:p>
    <w:p w14:paraId="42D0F363" w14:textId="77777777" w:rsidR="00D7177E" w:rsidRPr="001517B5" w:rsidRDefault="00D7177E" w:rsidP="00BE16A1">
      <w:pPr>
        <w:pStyle w:val="NoSpacing"/>
        <w:rPr>
          <w:b w:val="0"/>
          <w:sz w:val="26"/>
          <w:szCs w:val="26"/>
        </w:rPr>
      </w:pPr>
    </w:p>
    <w:p w14:paraId="42D0F364" w14:textId="77777777" w:rsidR="004709EE" w:rsidRPr="0038447A" w:rsidRDefault="004709EE" w:rsidP="004709EE">
      <w:pPr>
        <w:spacing w:after="200" w:line="276" w:lineRule="auto"/>
        <w:ind w:firstLine="0"/>
        <w:jc w:val="left"/>
        <w:rPr>
          <w:b/>
          <w:sz w:val="26"/>
          <w:szCs w:val="26"/>
          <w:u w:val="single"/>
        </w:rPr>
      </w:pPr>
      <w:r w:rsidRPr="0038447A">
        <w:rPr>
          <w:b/>
          <w:sz w:val="26"/>
          <w:szCs w:val="26"/>
          <w:u w:val="single"/>
        </w:rPr>
        <w:t>Politikas rezultāti:</w:t>
      </w:r>
    </w:p>
    <w:p w14:paraId="42D0F365" w14:textId="77777777" w:rsidR="004709EE" w:rsidRPr="00CC2EA2" w:rsidRDefault="000A003F" w:rsidP="004709EE">
      <w:pPr>
        <w:jc w:val="right"/>
        <w:rPr>
          <w:i/>
          <w:sz w:val="26"/>
          <w:szCs w:val="26"/>
        </w:rPr>
      </w:pPr>
      <w:r>
        <w:rPr>
          <w:i/>
          <w:sz w:val="26"/>
          <w:szCs w:val="26"/>
        </w:rPr>
        <w:t>5</w:t>
      </w:r>
      <w:r w:rsidR="004709EE" w:rsidRPr="00CC2EA2">
        <w:rPr>
          <w:i/>
          <w:sz w:val="26"/>
          <w:szCs w:val="26"/>
        </w:rPr>
        <w:t>.tabula</w:t>
      </w:r>
    </w:p>
    <w:tbl>
      <w:tblPr>
        <w:tblW w:w="9889"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809"/>
        <w:gridCol w:w="2410"/>
        <w:gridCol w:w="1134"/>
        <w:gridCol w:w="1134"/>
        <w:gridCol w:w="1134"/>
        <w:gridCol w:w="1134"/>
        <w:gridCol w:w="1134"/>
      </w:tblGrid>
      <w:tr w:rsidR="004709EE" w:rsidRPr="0038447A" w14:paraId="42D0F367" w14:textId="77777777" w:rsidTr="00AE16FE">
        <w:trPr>
          <w:trHeight w:val="339"/>
        </w:trPr>
        <w:tc>
          <w:tcPr>
            <w:tcW w:w="9889" w:type="dxa"/>
            <w:gridSpan w:val="7"/>
            <w:shd w:val="clear" w:color="auto" w:fill="auto"/>
          </w:tcPr>
          <w:p w14:paraId="42D0F366" w14:textId="77777777" w:rsidR="004709EE" w:rsidRPr="0038447A" w:rsidRDefault="004709EE" w:rsidP="004709EE">
            <w:pPr>
              <w:rPr>
                <w:rFonts w:eastAsia="Calibri"/>
                <w:sz w:val="22"/>
                <w:vertAlign w:val="superscript"/>
              </w:rPr>
            </w:pPr>
            <w:r w:rsidRPr="0038447A">
              <w:rPr>
                <w:rFonts w:eastAsia="Calibri"/>
                <w:sz w:val="22"/>
              </w:rPr>
              <w:t>4. Politikas rezultāti</w:t>
            </w:r>
          </w:p>
        </w:tc>
      </w:tr>
      <w:tr w:rsidR="004709EE" w:rsidRPr="0038447A" w14:paraId="42D0F36B" w14:textId="77777777" w:rsidTr="00AE16FE">
        <w:trPr>
          <w:trHeight w:val="96"/>
        </w:trPr>
        <w:tc>
          <w:tcPr>
            <w:tcW w:w="1809" w:type="dxa"/>
            <w:vMerge w:val="restart"/>
            <w:shd w:val="clear" w:color="auto" w:fill="auto"/>
          </w:tcPr>
          <w:p w14:paraId="42D0F368" w14:textId="77777777" w:rsidR="004709EE" w:rsidRPr="0038447A" w:rsidRDefault="004709EE" w:rsidP="004709EE">
            <w:pPr>
              <w:ind w:firstLine="0"/>
              <w:rPr>
                <w:rFonts w:eastAsia="Calibri"/>
                <w:sz w:val="22"/>
              </w:rPr>
            </w:pPr>
            <w:r w:rsidRPr="0038447A">
              <w:rPr>
                <w:rFonts w:eastAsia="Calibri"/>
                <w:sz w:val="22"/>
              </w:rPr>
              <w:t xml:space="preserve">4.1.Rezultāts </w:t>
            </w:r>
          </w:p>
        </w:tc>
        <w:tc>
          <w:tcPr>
            <w:tcW w:w="2410" w:type="dxa"/>
            <w:vMerge w:val="restart"/>
            <w:shd w:val="clear" w:color="auto" w:fill="auto"/>
          </w:tcPr>
          <w:p w14:paraId="42D0F369" w14:textId="77777777" w:rsidR="004709EE" w:rsidRPr="0038447A" w:rsidRDefault="004709EE" w:rsidP="007E68E1">
            <w:pPr>
              <w:ind w:firstLine="34"/>
              <w:jc w:val="left"/>
              <w:rPr>
                <w:rFonts w:eastAsia="Calibri"/>
                <w:sz w:val="22"/>
                <w:vertAlign w:val="superscript"/>
              </w:rPr>
            </w:pPr>
            <w:r w:rsidRPr="0038447A">
              <w:rPr>
                <w:rFonts w:eastAsia="Calibri"/>
                <w:sz w:val="22"/>
              </w:rPr>
              <w:t>4.2. Rezultatīvais rādītājs</w:t>
            </w:r>
          </w:p>
        </w:tc>
        <w:tc>
          <w:tcPr>
            <w:tcW w:w="5670" w:type="dxa"/>
            <w:gridSpan w:val="5"/>
            <w:shd w:val="clear" w:color="auto" w:fill="auto"/>
          </w:tcPr>
          <w:p w14:paraId="42D0F36A" w14:textId="77777777" w:rsidR="004709EE" w:rsidRPr="0038447A" w:rsidRDefault="004709EE" w:rsidP="004709EE">
            <w:pPr>
              <w:ind w:firstLine="0"/>
              <w:rPr>
                <w:rFonts w:eastAsia="Calibri"/>
                <w:sz w:val="22"/>
              </w:rPr>
            </w:pPr>
            <w:r w:rsidRPr="0038447A">
              <w:rPr>
                <w:rFonts w:eastAsia="Calibri"/>
                <w:sz w:val="22"/>
              </w:rPr>
              <w:t>4.3. Rezultatīvā rādītāja skaitliskās vērtības</w:t>
            </w:r>
          </w:p>
        </w:tc>
      </w:tr>
      <w:tr w:rsidR="004709EE" w:rsidRPr="0038447A" w14:paraId="42D0F373" w14:textId="77777777" w:rsidTr="00AE16FE">
        <w:trPr>
          <w:trHeight w:val="270"/>
        </w:trPr>
        <w:tc>
          <w:tcPr>
            <w:tcW w:w="1809" w:type="dxa"/>
            <w:vMerge/>
            <w:shd w:val="clear" w:color="auto" w:fill="auto"/>
          </w:tcPr>
          <w:p w14:paraId="42D0F36C" w14:textId="77777777" w:rsidR="004709EE" w:rsidRPr="0038447A" w:rsidRDefault="004709EE" w:rsidP="004709EE">
            <w:pPr>
              <w:rPr>
                <w:rFonts w:eastAsia="Calibri"/>
                <w:sz w:val="22"/>
              </w:rPr>
            </w:pPr>
          </w:p>
        </w:tc>
        <w:tc>
          <w:tcPr>
            <w:tcW w:w="2410" w:type="dxa"/>
            <w:vMerge/>
            <w:shd w:val="clear" w:color="auto" w:fill="auto"/>
          </w:tcPr>
          <w:p w14:paraId="42D0F36D" w14:textId="77777777" w:rsidR="004709EE" w:rsidRPr="0038447A" w:rsidRDefault="004709EE" w:rsidP="004709EE">
            <w:pPr>
              <w:rPr>
                <w:rFonts w:eastAsia="Calibri"/>
                <w:sz w:val="22"/>
              </w:rPr>
            </w:pPr>
          </w:p>
        </w:tc>
        <w:tc>
          <w:tcPr>
            <w:tcW w:w="1134" w:type="dxa"/>
            <w:shd w:val="clear" w:color="auto" w:fill="auto"/>
            <w:vAlign w:val="center"/>
          </w:tcPr>
          <w:p w14:paraId="42D0F36E" w14:textId="77777777" w:rsidR="004709EE" w:rsidRPr="0038447A" w:rsidRDefault="004709EE" w:rsidP="000A003F">
            <w:pPr>
              <w:ind w:firstLine="0"/>
              <w:jc w:val="center"/>
              <w:rPr>
                <w:rFonts w:eastAsia="Calibri" w:cs="Times New Roman"/>
                <w:sz w:val="22"/>
              </w:rPr>
            </w:pPr>
            <w:r w:rsidRPr="0038447A">
              <w:rPr>
                <w:rFonts w:eastAsia="Calibri" w:cs="Times New Roman"/>
                <w:sz w:val="22"/>
              </w:rPr>
              <w:t>2015.gada izpilde</w:t>
            </w:r>
          </w:p>
        </w:tc>
        <w:tc>
          <w:tcPr>
            <w:tcW w:w="1134" w:type="dxa"/>
            <w:shd w:val="clear" w:color="auto" w:fill="auto"/>
            <w:vAlign w:val="center"/>
          </w:tcPr>
          <w:p w14:paraId="42D0F36F" w14:textId="77777777" w:rsidR="004709EE" w:rsidRPr="0038447A" w:rsidRDefault="004709EE" w:rsidP="000A003F">
            <w:pPr>
              <w:ind w:firstLine="0"/>
              <w:jc w:val="center"/>
              <w:rPr>
                <w:rFonts w:eastAsia="Calibri" w:cs="Times New Roman"/>
                <w:sz w:val="22"/>
              </w:rPr>
            </w:pPr>
            <w:r w:rsidRPr="0038447A">
              <w:rPr>
                <w:rFonts w:eastAsia="Calibri" w:cs="Times New Roman"/>
                <w:sz w:val="22"/>
              </w:rPr>
              <w:t>2016.gada izpilde</w:t>
            </w:r>
          </w:p>
        </w:tc>
        <w:tc>
          <w:tcPr>
            <w:tcW w:w="1134" w:type="dxa"/>
            <w:shd w:val="clear" w:color="auto" w:fill="auto"/>
            <w:vAlign w:val="center"/>
          </w:tcPr>
          <w:p w14:paraId="42D0F370" w14:textId="77777777" w:rsidR="004709EE" w:rsidRPr="0038447A" w:rsidRDefault="004709EE" w:rsidP="000A003F">
            <w:pPr>
              <w:ind w:firstLine="0"/>
              <w:jc w:val="center"/>
              <w:rPr>
                <w:rFonts w:eastAsia="Calibri" w:cs="Times New Roman"/>
                <w:sz w:val="22"/>
              </w:rPr>
            </w:pPr>
            <w:r w:rsidRPr="0038447A">
              <w:rPr>
                <w:rFonts w:eastAsia="Calibri" w:cs="Times New Roman"/>
                <w:sz w:val="22"/>
              </w:rPr>
              <w:t>2017.gada p</w:t>
            </w:r>
            <w:r w:rsidR="000A003F">
              <w:rPr>
                <w:rFonts w:eastAsia="Calibri" w:cs="Times New Roman"/>
                <w:sz w:val="22"/>
              </w:rPr>
              <w:t>lāns</w:t>
            </w:r>
          </w:p>
        </w:tc>
        <w:tc>
          <w:tcPr>
            <w:tcW w:w="1134" w:type="dxa"/>
            <w:shd w:val="clear" w:color="auto" w:fill="auto"/>
            <w:vAlign w:val="center"/>
          </w:tcPr>
          <w:p w14:paraId="42D0F371" w14:textId="77777777" w:rsidR="004709EE" w:rsidRPr="0038447A" w:rsidRDefault="000A003F" w:rsidP="000A003F">
            <w:pPr>
              <w:ind w:firstLine="0"/>
              <w:jc w:val="center"/>
              <w:rPr>
                <w:rFonts w:eastAsia="Calibri" w:cs="Times New Roman"/>
                <w:sz w:val="22"/>
              </w:rPr>
            </w:pPr>
            <w:r>
              <w:rPr>
                <w:rFonts w:eastAsia="Calibri" w:cs="Times New Roman"/>
                <w:sz w:val="22"/>
              </w:rPr>
              <w:t>2018.gada plāns</w:t>
            </w:r>
          </w:p>
        </w:tc>
        <w:tc>
          <w:tcPr>
            <w:tcW w:w="1134" w:type="dxa"/>
            <w:shd w:val="clear" w:color="auto" w:fill="auto"/>
            <w:vAlign w:val="center"/>
          </w:tcPr>
          <w:p w14:paraId="42D0F372" w14:textId="77777777" w:rsidR="004709EE" w:rsidRPr="0038447A" w:rsidRDefault="004709EE" w:rsidP="000A003F">
            <w:pPr>
              <w:ind w:firstLine="0"/>
              <w:jc w:val="center"/>
              <w:rPr>
                <w:rFonts w:eastAsia="Calibri" w:cs="Times New Roman"/>
                <w:sz w:val="22"/>
              </w:rPr>
            </w:pPr>
            <w:r w:rsidRPr="0038447A">
              <w:rPr>
                <w:rFonts w:eastAsia="Calibri" w:cs="Times New Roman"/>
                <w:sz w:val="22"/>
              </w:rPr>
              <w:t>2019.gada p</w:t>
            </w:r>
            <w:r w:rsidR="000A003F">
              <w:rPr>
                <w:rFonts w:eastAsia="Calibri" w:cs="Times New Roman"/>
                <w:sz w:val="22"/>
              </w:rPr>
              <w:t>lāns</w:t>
            </w:r>
          </w:p>
        </w:tc>
      </w:tr>
      <w:tr w:rsidR="004709EE" w:rsidRPr="0038447A" w14:paraId="42D0F37C" w14:textId="77777777" w:rsidTr="00AE16FE">
        <w:trPr>
          <w:trHeight w:val="1846"/>
        </w:trPr>
        <w:tc>
          <w:tcPr>
            <w:tcW w:w="1809" w:type="dxa"/>
            <w:shd w:val="clear" w:color="auto" w:fill="auto"/>
          </w:tcPr>
          <w:p w14:paraId="42D0F374" w14:textId="77777777" w:rsidR="004709EE" w:rsidRPr="0038447A" w:rsidRDefault="004709EE" w:rsidP="001517B5">
            <w:pPr>
              <w:tabs>
                <w:tab w:val="left" w:pos="426"/>
              </w:tabs>
              <w:ind w:right="33" w:firstLine="0"/>
              <w:jc w:val="left"/>
              <w:rPr>
                <w:sz w:val="22"/>
              </w:rPr>
            </w:pPr>
            <w:r w:rsidRPr="0038447A">
              <w:rPr>
                <w:rFonts w:eastAsia="Calibri"/>
                <w:sz w:val="22"/>
              </w:rPr>
              <w:t>4.1.1.</w:t>
            </w:r>
            <w:r w:rsidRPr="0038447A">
              <w:rPr>
                <w:sz w:val="22"/>
              </w:rPr>
              <w:t xml:space="preserve">Paaugstinās valsts amatpersonu zināšanu līmenis korupcijas </w:t>
            </w:r>
          </w:p>
          <w:p w14:paraId="42D0F375" w14:textId="77777777" w:rsidR="004709EE" w:rsidRPr="001517B5" w:rsidRDefault="001517B5" w:rsidP="004709EE">
            <w:pPr>
              <w:tabs>
                <w:tab w:val="left" w:pos="426"/>
              </w:tabs>
              <w:ind w:right="-250" w:firstLine="0"/>
              <w:jc w:val="left"/>
              <w:rPr>
                <w:sz w:val="22"/>
              </w:rPr>
            </w:pPr>
            <w:r>
              <w:rPr>
                <w:sz w:val="22"/>
              </w:rPr>
              <w:t xml:space="preserve">novēršanas </w:t>
            </w:r>
            <w:r w:rsidR="004709EE" w:rsidRPr="0038447A">
              <w:rPr>
                <w:sz w:val="22"/>
              </w:rPr>
              <w:t>jautājumos</w:t>
            </w:r>
          </w:p>
        </w:tc>
        <w:tc>
          <w:tcPr>
            <w:tcW w:w="2410" w:type="dxa"/>
            <w:shd w:val="clear" w:color="auto" w:fill="auto"/>
          </w:tcPr>
          <w:p w14:paraId="42D0F376" w14:textId="77777777" w:rsidR="004709EE" w:rsidRPr="00F903F6" w:rsidRDefault="004709EE" w:rsidP="00CC2EA2">
            <w:pPr>
              <w:ind w:firstLine="0"/>
              <w:jc w:val="left"/>
              <w:rPr>
                <w:rFonts w:eastAsia="Calibri"/>
                <w:sz w:val="22"/>
              </w:rPr>
            </w:pPr>
            <w:r w:rsidRPr="00F903F6">
              <w:rPr>
                <w:rFonts w:eastAsia="Calibri"/>
                <w:sz w:val="22"/>
              </w:rPr>
              <w:t>4.2.1.</w:t>
            </w:r>
            <w:r w:rsidRPr="00F903F6">
              <w:rPr>
                <w:sz w:val="22"/>
              </w:rPr>
              <w:t xml:space="preserve"> Izglītošanas pasākumos veikto zināšanu pārbaudes testu rezultāti rāda, ka pieaug to valsts amatpersonu skaits, kas labi pārzina korupcijas novēršanas pamatjautājumus</w:t>
            </w:r>
          </w:p>
        </w:tc>
        <w:tc>
          <w:tcPr>
            <w:tcW w:w="1134" w:type="dxa"/>
            <w:shd w:val="clear" w:color="auto" w:fill="auto"/>
            <w:vAlign w:val="center"/>
          </w:tcPr>
          <w:p w14:paraId="42D0F377" w14:textId="77777777" w:rsidR="004709EE" w:rsidRPr="00F903F6" w:rsidRDefault="004709EE" w:rsidP="004709EE">
            <w:pPr>
              <w:tabs>
                <w:tab w:val="left" w:pos="309"/>
              </w:tabs>
              <w:ind w:right="-250" w:firstLine="34"/>
              <w:jc w:val="center"/>
              <w:rPr>
                <w:rFonts w:eastAsia="Calibri"/>
                <w:sz w:val="22"/>
              </w:rPr>
            </w:pPr>
            <w:r w:rsidRPr="00F903F6">
              <w:rPr>
                <w:rFonts w:eastAsia="Calibri"/>
                <w:sz w:val="22"/>
              </w:rPr>
              <w:t>82%</w:t>
            </w:r>
          </w:p>
        </w:tc>
        <w:tc>
          <w:tcPr>
            <w:tcW w:w="1134" w:type="dxa"/>
            <w:shd w:val="clear" w:color="auto" w:fill="auto"/>
            <w:vAlign w:val="center"/>
          </w:tcPr>
          <w:p w14:paraId="42D0F378" w14:textId="77777777" w:rsidR="004709EE" w:rsidRPr="00F903F6" w:rsidRDefault="004709EE" w:rsidP="004709EE">
            <w:pPr>
              <w:tabs>
                <w:tab w:val="left" w:pos="309"/>
              </w:tabs>
              <w:ind w:right="-250" w:firstLine="34"/>
              <w:jc w:val="center"/>
              <w:rPr>
                <w:rFonts w:eastAsia="Calibri"/>
                <w:sz w:val="22"/>
              </w:rPr>
            </w:pPr>
            <w:r w:rsidRPr="00F903F6">
              <w:rPr>
                <w:rFonts w:eastAsia="Calibri"/>
                <w:sz w:val="22"/>
              </w:rPr>
              <w:t>84%</w:t>
            </w:r>
          </w:p>
        </w:tc>
        <w:tc>
          <w:tcPr>
            <w:tcW w:w="1134" w:type="dxa"/>
            <w:shd w:val="clear" w:color="auto" w:fill="auto"/>
            <w:vAlign w:val="center"/>
          </w:tcPr>
          <w:p w14:paraId="42D0F379" w14:textId="77777777" w:rsidR="004709EE" w:rsidRPr="00F903F6" w:rsidRDefault="004709EE" w:rsidP="004709EE">
            <w:pPr>
              <w:ind w:right="-250" w:firstLine="34"/>
              <w:jc w:val="center"/>
              <w:rPr>
                <w:rFonts w:eastAsia="Calibri"/>
                <w:sz w:val="22"/>
              </w:rPr>
            </w:pPr>
            <w:r w:rsidRPr="00F903F6">
              <w:rPr>
                <w:rFonts w:eastAsia="Calibri"/>
                <w:sz w:val="22"/>
              </w:rPr>
              <w:t>84%</w:t>
            </w:r>
          </w:p>
        </w:tc>
        <w:tc>
          <w:tcPr>
            <w:tcW w:w="1134" w:type="dxa"/>
            <w:shd w:val="clear" w:color="auto" w:fill="auto"/>
            <w:vAlign w:val="center"/>
          </w:tcPr>
          <w:p w14:paraId="42D0F37A" w14:textId="77777777" w:rsidR="004709EE" w:rsidRPr="00F903F6" w:rsidRDefault="004709EE" w:rsidP="004709EE">
            <w:pPr>
              <w:ind w:right="-250" w:firstLine="34"/>
              <w:jc w:val="center"/>
              <w:rPr>
                <w:rFonts w:eastAsia="Calibri"/>
                <w:sz w:val="22"/>
              </w:rPr>
            </w:pPr>
            <w:r w:rsidRPr="00F903F6">
              <w:rPr>
                <w:rFonts w:eastAsia="Calibri"/>
                <w:sz w:val="22"/>
              </w:rPr>
              <w:t>85%</w:t>
            </w:r>
          </w:p>
        </w:tc>
        <w:tc>
          <w:tcPr>
            <w:tcW w:w="1134" w:type="dxa"/>
            <w:shd w:val="clear" w:color="auto" w:fill="auto"/>
            <w:vAlign w:val="center"/>
          </w:tcPr>
          <w:p w14:paraId="42D0F37B" w14:textId="77777777" w:rsidR="004709EE" w:rsidRPr="00F903F6" w:rsidRDefault="004709EE" w:rsidP="004709EE">
            <w:pPr>
              <w:ind w:right="-250" w:firstLine="34"/>
              <w:jc w:val="center"/>
              <w:rPr>
                <w:rFonts w:eastAsia="Calibri"/>
                <w:sz w:val="22"/>
              </w:rPr>
            </w:pPr>
            <w:r w:rsidRPr="00F903F6">
              <w:rPr>
                <w:rFonts w:eastAsia="Calibri"/>
                <w:sz w:val="22"/>
              </w:rPr>
              <w:t>86%</w:t>
            </w:r>
          </w:p>
        </w:tc>
      </w:tr>
      <w:tr w:rsidR="004709EE" w:rsidRPr="0038447A" w14:paraId="42D0F384" w14:textId="77777777" w:rsidTr="00AE16FE">
        <w:trPr>
          <w:trHeight w:val="1840"/>
        </w:trPr>
        <w:tc>
          <w:tcPr>
            <w:tcW w:w="1809" w:type="dxa"/>
            <w:shd w:val="clear" w:color="auto" w:fill="auto"/>
          </w:tcPr>
          <w:p w14:paraId="42D0F37D" w14:textId="77777777" w:rsidR="004709EE" w:rsidRPr="0038447A" w:rsidRDefault="004709EE" w:rsidP="001517B5">
            <w:pPr>
              <w:ind w:firstLine="0"/>
              <w:jc w:val="left"/>
              <w:rPr>
                <w:rFonts w:eastAsia="Calibri"/>
                <w:sz w:val="22"/>
              </w:rPr>
            </w:pPr>
            <w:r w:rsidRPr="0038447A">
              <w:rPr>
                <w:sz w:val="22"/>
              </w:rPr>
              <w:t>4.1.</w:t>
            </w:r>
            <w:r w:rsidR="001517B5">
              <w:rPr>
                <w:sz w:val="22"/>
              </w:rPr>
              <w:t>2</w:t>
            </w:r>
            <w:r w:rsidRPr="0038447A">
              <w:rPr>
                <w:sz w:val="22"/>
              </w:rPr>
              <w:t>. Mazinās sabiedrības tolerance pret korupciju un pieaug iedzīvotāju gatavība ziņot par korupcijas gadījumiem</w:t>
            </w:r>
          </w:p>
        </w:tc>
        <w:tc>
          <w:tcPr>
            <w:tcW w:w="2410" w:type="dxa"/>
            <w:shd w:val="clear" w:color="auto" w:fill="auto"/>
          </w:tcPr>
          <w:p w14:paraId="42D0F37E" w14:textId="77777777" w:rsidR="004709EE" w:rsidRPr="00F903F6" w:rsidRDefault="004709EE" w:rsidP="001517B5">
            <w:pPr>
              <w:ind w:firstLine="34"/>
              <w:jc w:val="left"/>
              <w:rPr>
                <w:rFonts w:eastAsia="Calibri"/>
                <w:sz w:val="22"/>
              </w:rPr>
            </w:pPr>
            <w:r w:rsidRPr="00F903F6">
              <w:rPr>
                <w:sz w:val="22"/>
              </w:rPr>
              <w:t>4.2.</w:t>
            </w:r>
            <w:r w:rsidR="001517B5">
              <w:rPr>
                <w:sz w:val="22"/>
              </w:rPr>
              <w:t>2</w:t>
            </w:r>
            <w:r w:rsidRPr="00F903F6">
              <w:rPr>
                <w:sz w:val="22"/>
              </w:rPr>
              <w:t>. Samazinās aptaujāto skaits, kas socioloģiskajās aptaujās uz jautājumu „Neesmu gatavs ziņot par korupcijas gadījumiem vispār” atbild apstiprinoši</w:t>
            </w:r>
          </w:p>
        </w:tc>
        <w:tc>
          <w:tcPr>
            <w:tcW w:w="1134" w:type="dxa"/>
            <w:shd w:val="clear" w:color="auto" w:fill="auto"/>
            <w:vAlign w:val="center"/>
          </w:tcPr>
          <w:p w14:paraId="42D0F37F" w14:textId="77777777" w:rsidR="004709EE" w:rsidRPr="00F903F6" w:rsidRDefault="004709EE" w:rsidP="004709EE">
            <w:pPr>
              <w:ind w:firstLine="34"/>
              <w:jc w:val="center"/>
              <w:rPr>
                <w:rFonts w:eastAsia="Calibri"/>
                <w:sz w:val="22"/>
              </w:rPr>
            </w:pPr>
            <w:r w:rsidRPr="00F903F6">
              <w:rPr>
                <w:rFonts w:eastAsia="Calibri"/>
                <w:sz w:val="22"/>
              </w:rPr>
              <w:t>32,8%</w:t>
            </w:r>
          </w:p>
        </w:tc>
        <w:tc>
          <w:tcPr>
            <w:tcW w:w="1134" w:type="dxa"/>
            <w:shd w:val="clear" w:color="auto" w:fill="auto"/>
            <w:vAlign w:val="center"/>
          </w:tcPr>
          <w:p w14:paraId="42D0F380" w14:textId="77777777" w:rsidR="004709EE" w:rsidRPr="00F903F6" w:rsidRDefault="004709EE" w:rsidP="004709EE">
            <w:pPr>
              <w:ind w:firstLine="0"/>
              <w:jc w:val="center"/>
              <w:rPr>
                <w:rFonts w:eastAsia="Calibri"/>
                <w:sz w:val="22"/>
              </w:rPr>
            </w:pPr>
            <w:r w:rsidRPr="00F903F6">
              <w:rPr>
                <w:rFonts w:eastAsia="Calibri"/>
                <w:sz w:val="22"/>
              </w:rPr>
              <w:t>33,4%</w:t>
            </w:r>
          </w:p>
        </w:tc>
        <w:tc>
          <w:tcPr>
            <w:tcW w:w="1134" w:type="dxa"/>
            <w:shd w:val="clear" w:color="auto" w:fill="auto"/>
            <w:vAlign w:val="center"/>
          </w:tcPr>
          <w:p w14:paraId="42D0F381" w14:textId="77777777" w:rsidR="004709EE" w:rsidRPr="00F903F6" w:rsidRDefault="004709EE" w:rsidP="004709EE">
            <w:pPr>
              <w:ind w:firstLine="0"/>
              <w:jc w:val="center"/>
              <w:rPr>
                <w:rFonts w:eastAsia="Calibri"/>
                <w:sz w:val="22"/>
              </w:rPr>
            </w:pPr>
            <w:r w:rsidRPr="00F903F6">
              <w:rPr>
                <w:rFonts w:eastAsia="Calibri"/>
                <w:sz w:val="22"/>
              </w:rPr>
              <w:t>31%</w:t>
            </w:r>
          </w:p>
        </w:tc>
        <w:tc>
          <w:tcPr>
            <w:tcW w:w="1134" w:type="dxa"/>
            <w:shd w:val="clear" w:color="auto" w:fill="auto"/>
            <w:vAlign w:val="center"/>
          </w:tcPr>
          <w:p w14:paraId="42D0F382" w14:textId="77777777" w:rsidR="004709EE" w:rsidRPr="00F903F6" w:rsidRDefault="004709EE" w:rsidP="004709EE">
            <w:pPr>
              <w:ind w:firstLine="33"/>
              <w:jc w:val="center"/>
              <w:rPr>
                <w:rFonts w:eastAsia="Calibri"/>
                <w:sz w:val="22"/>
              </w:rPr>
            </w:pPr>
            <w:r w:rsidRPr="00F903F6">
              <w:rPr>
                <w:rFonts w:eastAsia="Calibri"/>
                <w:sz w:val="22"/>
              </w:rPr>
              <w:t>29%</w:t>
            </w:r>
          </w:p>
        </w:tc>
        <w:tc>
          <w:tcPr>
            <w:tcW w:w="1134" w:type="dxa"/>
            <w:shd w:val="clear" w:color="auto" w:fill="auto"/>
            <w:vAlign w:val="center"/>
          </w:tcPr>
          <w:p w14:paraId="42D0F383" w14:textId="77777777" w:rsidR="004709EE" w:rsidRPr="00F903F6" w:rsidRDefault="004709EE" w:rsidP="004709EE">
            <w:pPr>
              <w:ind w:firstLine="0"/>
              <w:jc w:val="center"/>
              <w:rPr>
                <w:rFonts w:eastAsia="Calibri"/>
                <w:sz w:val="22"/>
              </w:rPr>
            </w:pPr>
            <w:r w:rsidRPr="00F903F6">
              <w:rPr>
                <w:rFonts w:eastAsia="Calibri"/>
                <w:sz w:val="22"/>
              </w:rPr>
              <w:t>27%</w:t>
            </w:r>
          </w:p>
        </w:tc>
      </w:tr>
      <w:tr w:rsidR="00772BA6" w:rsidRPr="00E07B83" w14:paraId="42D0F38D" w14:textId="77777777" w:rsidTr="00AE16FE">
        <w:trPr>
          <w:trHeight w:val="278"/>
        </w:trPr>
        <w:tc>
          <w:tcPr>
            <w:tcW w:w="1809" w:type="dxa"/>
            <w:tcBorders>
              <w:top w:val="outset" w:sz="2" w:space="0" w:color="auto"/>
              <w:left w:val="outset" w:sz="2" w:space="0" w:color="auto"/>
              <w:bottom w:val="outset" w:sz="2" w:space="0" w:color="auto"/>
              <w:right w:val="outset" w:sz="2" w:space="0" w:color="auto"/>
            </w:tcBorders>
            <w:shd w:val="clear" w:color="auto" w:fill="auto"/>
          </w:tcPr>
          <w:p w14:paraId="42D0F385" w14:textId="77777777" w:rsidR="00772BA6" w:rsidRPr="000A003F" w:rsidRDefault="000A003F" w:rsidP="00772BA6">
            <w:pPr>
              <w:ind w:firstLine="0"/>
              <w:jc w:val="left"/>
              <w:rPr>
                <w:color w:val="000000" w:themeColor="text1"/>
                <w:sz w:val="22"/>
              </w:rPr>
            </w:pPr>
            <w:r w:rsidRPr="000A003F">
              <w:rPr>
                <w:color w:val="000000" w:themeColor="text1"/>
                <w:sz w:val="22"/>
              </w:rPr>
              <w:t>4</w:t>
            </w:r>
            <w:r w:rsidR="00772BA6" w:rsidRPr="000A003F">
              <w:rPr>
                <w:color w:val="000000" w:themeColor="text1"/>
                <w:sz w:val="22"/>
              </w:rPr>
              <w:t>.1.</w:t>
            </w:r>
            <w:r w:rsidRPr="000A003F">
              <w:rPr>
                <w:color w:val="000000" w:themeColor="text1"/>
                <w:sz w:val="22"/>
              </w:rPr>
              <w:t>3</w:t>
            </w:r>
            <w:r w:rsidR="00772BA6" w:rsidRPr="000A003F">
              <w:rPr>
                <w:color w:val="000000" w:themeColor="text1"/>
                <w:sz w:val="22"/>
              </w:rPr>
              <w:t>.</w:t>
            </w:r>
          </w:p>
          <w:p w14:paraId="42D0F386" w14:textId="77777777" w:rsidR="00772BA6" w:rsidRPr="000A003F" w:rsidRDefault="00772BA6" w:rsidP="00772BA6">
            <w:pPr>
              <w:ind w:firstLine="0"/>
              <w:jc w:val="left"/>
              <w:rPr>
                <w:color w:val="000000" w:themeColor="text1"/>
                <w:sz w:val="22"/>
              </w:rPr>
            </w:pPr>
            <w:r w:rsidRPr="000A003F">
              <w:rPr>
                <w:color w:val="000000" w:themeColor="text1"/>
                <w:sz w:val="22"/>
              </w:rPr>
              <w:t>Samazināt iedzīvotāju īpatsvaru, kas atzinuši, ka gatavi dot kukuli</w:t>
            </w:r>
          </w:p>
        </w:tc>
        <w:tc>
          <w:tcPr>
            <w:tcW w:w="2410" w:type="dxa"/>
            <w:tcBorders>
              <w:top w:val="outset" w:sz="2" w:space="0" w:color="auto"/>
              <w:left w:val="outset" w:sz="2" w:space="0" w:color="auto"/>
              <w:bottom w:val="outset" w:sz="2" w:space="0" w:color="auto"/>
              <w:right w:val="outset" w:sz="2" w:space="0" w:color="auto"/>
            </w:tcBorders>
            <w:shd w:val="clear" w:color="auto" w:fill="auto"/>
          </w:tcPr>
          <w:p w14:paraId="42D0F387" w14:textId="77777777" w:rsidR="00772BA6" w:rsidRPr="000A003F" w:rsidRDefault="001517B5" w:rsidP="001517B5">
            <w:pPr>
              <w:ind w:firstLine="34"/>
              <w:jc w:val="left"/>
              <w:rPr>
                <w:color w:val="000000" w:themeColor="text1"/>
                <w:sz w:val="22"/>
              </w:rPr>
            </w:pPr>
            <w:r>
              <w:rPr>
                <w:color w:val="000000" w:themeColor="text1"/>
                <w:sz w:val="22"/>
              </w:rPr>
              <w:t>4</w:t>
            </w:r>
            <w:r w:rsidR="00772BA6" w:rsidRPr="000A003F">
              <w:rPr>
                <w:color w:val="000000" w:themeColor="text1"/>
                <w:sz w:val="22"/>
              </w:rPr>
              <w:t>.2.</w:t>
            </w:r>
            <w:r>
              <w:rPr>
                <w:color w:val="000000" w:themeColor="text1"/>
                <w:sz w:val="22"/>
              </w:rPr>
              <w:t>3</w:t>
            </w:r>
            <w:r w:rsidR="00772BA6" w:rsidRPr="000A003F">
              <w:rPr>
                <w:color w:val="000000" w:themeColor="text1"/>
                <w:sz w:val="22"/>
              </w:rPr>
              <w:t>.Samazinās to iedzīvotāju īpatsvars, kas atzinuši, ka ir gatavi dot kukuli valsts amatpersonai, lai atrisinātu savas problēmas publiskas personas institūcijās (% no aptaujātajiem)</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388" w14:textId="77777777" w:rsidR="00772BA6" w:rsidRPr="000A003F" w:rsidRDefault="00772BA6" w:rsidP="00772BA6">
            <w:pPr>
              <w:ind w:firstLine="34"/>
              <w:jc w:val="center"/>
              <w:rPr>
                <w:rFonts w:eastAsia="Calibri"/>
                <w:color w:val="000000" w:themeColor="text1"/>
                <w:sz w:val="22"/>
              </w:rPr>
            </w:pPr>
            <w:r w:rsidRPr="000A003F">
              <w:rPr>
                <w:rFonts w:eastAsia="Calibri"/>
                <w:color w:val="000000" w:themeColor="text1"/>
                <w:sz w:val="22"/>
              </w:rPr>
              <w:t>22,2</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389" w14:textId="77777777" w:rsidR="00772BA6" w:rsidRPr="000A003F" w:rsidRDefault="00772BA6" w:rsidP="00772BA6">
            <w:pPr>
              <w:ind w:firstLine="0"/>
              <w:jc w:val="center"/>
              <w:rPr>
                <w:rFonts w:eastAsia="Calibri"/>
                <w:color w:val="000000" w:themeColor="text1"/>
                <w:sz w:val="22"/>
              </w:rPr>
            </w:pPr>
            <w:r w:rsidRPr="000A003F">
              <w:rPr>
                <w:rFonts w:eastAsia="Calibri"/>
                <w:color w:val="000000" w:themeColor="text1"/>
                <w:sz w:val="22"/>
              </w:rPr>
              <w:t>23,3</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38A" w14:textId="77777777" w:rsidR="00772BA6" w:rsidRPr="000A003F" w:rsidRDefault="00772BA6" w:rsidP="00772BA6">
            <w:pPr>
              <w:ind w:firstLine="0"/>
              <w:jc w:val="center"/>
              <w:rPr>
                <w:rFonts w:eastAsia="Calibri"/>
                <w:color w:val="000000" w:themeColor="text1"/>
                <w:sz w:val="22"/>
              </w:rPr>
            </w:pPr>
            <w:r w:rsidRPr="000A003F">
              <w:rPr>
                <w:rFonts w:eastAsia="Calibri"/>
                <w:color w:val="000000" w:themeColor="text1"/>
                <w:sz w:val="22"/>
              </w:rPr>
              <w:t>20</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38B" w14:textId="77777777" w:rsidR="00772BA6" w:rsidRPr="000A003F" w:rsidRDefault="00772BA6" w:rsidP="00772BA6">
            <w:pPr>
              <w:ind w:firstLine="33"/>
              <w:jc w:val="center"/>
              <w:rPr>
                <w:rFonts w:eastAsia="Calibri"/>
                <w:color w:val="000000" w:themeColor="text1"/>
                <w:sz w:val="22"/>
              </w:rPr>
            </w:pPr>
            <w:r w:rsidRPr="000A003F">
              <w:rPr>
                <w:rFonts w:eastAsia="Calibri"/>
                <w:color w:val="000000" w:themeColor="text1"/>
                <w:sz w:val="22"/>
              </w:rPr>
              <w:t>20</w:t>
            </w:r>
          </w:p>
        </w:tc>
        <w:tc>
          <w:tcPr>
            <w:tcW w:w="1134" w:type="dxa"/>
            <w:tcBorders>
              <w:top w:val="outset" w:sz="2" w:space="0" w:color="auto"/>
              <w:left w:val="outset" w:sz="2" w:space="0" w:color="auto"/>
              <w:bottom w:val="outset" w:sz="2" w:space="0" w:color="auto"/>
              <w:right w:val="outset" w:sz="2" w:space="0" w:color="auto"/>
            </w:tcBorders>
            <w:shd w:val="clear" w:color="auto" w:fill="auto"/>
            <w:vAlign w:val="center"/>
          </w:tcPr>
          <w:p w14:paraId="42D0F38C" w14:textId="77777777" w:rsidR="00772BA6" w:rsidRPr="000A003F" w:rsidRDefault="00772BA6" w:rsidP="00772BA6">
            <w:pPr>
              <w:ind w:firstLine="0"/>
              <w:jc w:val="center"/>
              <w:rPr>
                <w:rFonts w:eastAsia="Calibri"/>
                <w:color w:val="000000" w:themeColor="text1"/>
                <w:sz w:val="22"/>
              </w:rPr>
            </w:pPr>
            <w:r w:rsidRPr="000A003F">
              <w:rPr>
                <w:rFonts w:eastAsia="Calibri"/>
                <w:color w:val="000000" w:themeColor="text1"/>
                <w:sz w:val="22"/>
              </w:rPr>
              <w:t>20</w:t>
            </w:r>
          </w:p>
        </w:tc>
      </w:tr>
    </w:tbl>
    <w:p w14:paraId="42D0F38E" w14:textId="77777777" w:rsidR="004709EE" w:rsidRPr="0038447A" w:rsidRDefault="004709EE" w:rsidP="004709EE">
      <w:pPr>
        <w:jc w:val="left"/>
        <w:rPr>
          <w:sz w:val="26"/>
          <w:szCs w:val="26"/>
        </w:rPr>
      </w:pPr>
    </w:p>
    <w:p w14:paraId="42D0F38F" w14:textId="77777777" w:rsidR="000022A6" w:rsidRDefault="000022A6" w:rsidP="007E550D">
      <w:pPr>
        <w:spacing w:after="240"/>
        <w:ind w:firstLine="0"/>
        <w:rPr>
          <w:b/>
          <w:sz w:val="26"/>
          <w:szCs w:val="26"/>
          <w:u w:val="single"/>
        </w:rPr>
      </w:pPr>
    </w:p>
    <w:p w14:paraId="42D0F390" w14:textId="77777777" w:rsidR="004709EE" w:rsidRPr="0038447A" w:rsidRDefault="004709EE" w:rsidP="007E550D">
      <w:pPr>
        <w:spacing w:after="240"/>
        <w:ind w:firstLine="0"/>
        <w:rPr>
          <w:b/>
          <w:sz w:val="26"/>
          <w:szCs w:val="26"/>
          <w:u w:val="single"/>
        </w:rPr>
      </w:pPr>
      <w:r w:rsidRPr="0038447A">
        <w:rPr>
          <w:b/>
          <w:sz w:val="26"/>
          <w:szCs w:val="26"/>
          <w:u w:val="single"/>
        </w:rPr>
        <w:lastRenderedPageBreak/>
        <w:t>Uzdevumi darbības virziena īstenošanai:</w:t>
      </w:r>
    </w:p>
    <w:p w14:paraId="42D0F391" w14:textId="77777777" w:rsidR="00280C27" w:rsidRPr="00280C27" w:rsidRDefault="00A31F2E" w:rsidP="00280C27">
      <w:pPr>
        <w:numPr>
          <w:ilvl w:val="0"/>
          <w:numId w:val="41"/>
        </w:numPr>
        <w:ind w:left="284" w:hanging="284"/>
        <w:rPr>
          <w:rFonts w:eastAsia="Times New Roman" w:cs="Times New Roman"/>
          <w:sz w:val="26"/>
          <w:szCs w:val="26"/>
          <w:lang w:eastAsia="lv-LV"/>
        </w:rPr>
      </w:pPr>
      <w:r w:rsidRPr="0038447A">
        <w:rPr>
          <w:rFonts w:eastAsia="Times New Roman" w:cs="Times New Roman"/>
          <w:sz w:val="26"/>
          <w:szCs w:val="26"/>
          <w:lang w:eastAsia="lv-LV"/>
        </w:rPr>
        <w:t>i</w:t>
      </w:r>
      <w:r w:rsidR="00A21932" w:rsidRPr="0038447A">
        <w:rPr>
          <w:rFonts w:eastAsia="Times New Roman" w:cs="Times New Roman"/>
          <w:sz w:val="26"/>
          <w:szCs w:val="26"/>
          <w:lang w:eastAsia="lv-LV"/>
        </w:rPr>
        <w:t xml:space="preserve">zstrādāt un ieviest komunikācijas un izglītošanas stratēģiju ar konkrētiem uzdevumiem, formulējot komunikācijas paņēmienus un veidus, tai skaitā īpaši </w:t>
      </w:r>
      <w:proofErr w:type="spellStart"/>
      <w:r w:rsidR="00A21932" w:rsidRPr="0038447A">
        <w:rPr>
          <w:rFonts w:eastAsia="Times New Roman" w:cs="Times New Roman"/>
          <w:sz w:val="26"/>
          <w:szCs w:val="26"/>
          <w:lang w:eastAsia="lv-LV"/>
        </w:rPr>
        <w:t>prioritizējot</w:t>
      </w:r>
      <w:proofErr w:type="spellEnd"/>
      <w:r w:rsidR="00A21932" w:rsidRPr="0038447A">
        <w:rPr>
          <w:rFonts w:eastAsia="Times New Roman" w:cs="Times New Roman"/>
          <w:sz w:val="26"/>
          <w:szCs w:val="26"/>
          <w:lang w:eastAsia="lv-LV"/>
        </w:rPr>
        <w:t xml:space="preserve"> </w:t>
      </w:r>
      <w:proofErr w:type="spellStart"/>
      <w:r w:rsidR="00A21932" w:rsidRPr="0038447A">
        <w:rPr>
          <w:rFonts w:eastAsia="Times New Roman" w:cs="Times New Roman"/>
          <w:sz w:val="26"/>
          <w:szCs w:val="26"/>
          <w:lang w:eastAsia="lv-LV"/>
        </w:rPr>
        <w:t>tālākizglītotāju</w:t>
      </w:r>
      <w:proofErr w:type="spellEnd"/>
      <w:r w:rsidR="00A21932" w:rsidRPr="0038447A">
        <w:rPr>
          <w:rFonts w:eastAsia="Times New Roman" w:cs="Times New Roman"/>
          <w:sz w:val="26"/>
          <w:szCs w:val="26"/>
          <w:lang w:eastAsia="lv-LV"/>
        </w:rPr>
        <w:t xml:space="preserve"> apmācību modeli, uzņēmēju apmācības, jauniešu apmācības u.c. auditorijas;</w:t>
      </w:r>
    </w:p>
    <w:p w14:paraId="42D0F392" w14:textId="77777777" w:rsidR="003B3E57" w:rsidRPr="0038447A" w:rsidRDefault="003B3E57" w:rsidP="003A1281">
      <w:pPr>
        <w:numPr>
          <w:ilvl w:val="0"/>
          <w:numId w:val="41"/>
        </w:numPr>
        <w:ind w:left="284" w:hanging="284"/>
        <w:rPr>
          <w:rFonts w:eastAsia="Times New Roman" w:cs="Times New Roman"/>
          <w:sz w:val="26"/>
          <w:szCs w:val="26"/>
          <w:lang w:eastAsia="lv-LV"/>
        </w:rPr>
      </w:pPr>
      <w:r w:rsidRPr="0038447A">
        <w:rPr>
          <w:rFonts w:eastAsia="Times New Roman" w:cs="Times New Roman"/>
          <w:sz w:val="26"/>
          <w:szCs w:val="26"/>
          <w:lang w:eastAsia="lv-LV"/>
        </w:rPr>
        <w:t>periodiski uzaicināt apmeklēt izglītošanas pasākumus prioritārā kārtībā</w:t>
      </w:r>
      <w:r w:rsidR="002D7D57">
        <w:rPr>
          <w:rFonts w:eastAsia="Times New Roman" w:cs="Times New Roman"/>
          <w:sz w:val="26"/>
          <w:szCs w:val="26"/>
          <w:lang w:eastAsia="lv-LV"/>
        </w:rPr>
        <w:t xml:space="preserve"> tās institūcij</w:t>
      </w:r>
      <w:r w:rsidR="00A06F1C">
        <w:rPr>
          <w:rFonts w:eastAsia="Times New Roman" w:cs="Times New Roman"/>
          <w:sz w:val="26"/>
          <w:szCs w:val="26"/>
          <w:lang w:eastAsia="lv-LV"/>
        </w:rPr>
        <w:t>as</w:t>
      </w:r>
      <w:r w:rsidR="002D7D57">
        <w:rPr>
          <w:rFonts w:eastAsia="Times New Roman" w:cs="Times New Roman"/>
          <w:sz w:val="26"/>
          <w:szCs w:val="26"/>
          <w:lang w:eastAsia="lv-LV"/>
        </w:rPr>
        <w:t>, kur</w:t>
      </w:r>
      <w:r w:rsidR="00A06F1C">
        <w:rPr>
          <w:rFonts w:eastAsia="Times New Roman" w:cs="Times New Roman"/>
          <w:sz w:val="26"/>
          <w:szCs w:val="26"/>
          <w:lang w:eastAsia="lv-LV"/>
        </w:rPr>
        <w:t>u amatpersonas iesaistītas Biroja krimināllietā</w:t>
      </w:r>
      <w:r w:rsidR="002D7D57" w:rsidRPr="0038447A">
        <w:rPr>
          <w:rFonts w:eastAsia="Times New Roman" w:cs="Times New Roman"/>
          <w:sz w:val="26"/>
          <w:szCs w:val="26"/>
          <w:lang w:eastAsia="lv-LV"/>
        </w:rPr>
        <w:t>s un administratīvo pārkāpumu lietās</w:t>
      </w:r>
      <w:r w:rsidRPr="0038447A">
        <w:rPr>
          <w:rFonts w:eastAsia="Times New Roman" w:cs="Times New Roman"/>
          <w:sz w:val="26"/>
          <w:szCs w:val="26"/>
          <w:lang w:eastAsia="lv-LV"/>
        </w:rPr>
        <w:t>, kā arī rast jaunus apmācību veidus citām ieinteresētajām institūcijām;</w:t>
      </w:r>
    </w:p>
    <w:p w14:paraId="42D0F393" w14:textId="77777777" w:rsidR="00A21932" w:rsidRPr="0038447A" w:rsidRDefault="00A31F2E" w:rsidP="003A1281">
      <w:pPr>
        <w:numPr>
          <w:ilvl w:val="0"/>
          <w:numId w:val="41"/>
        </w:numPr>
        <w:ind w:left="284" w:hanging="284"/>
        <w:rPr>
          <w:rFonts w:eastAsia="Times New Roman" w:cs="Times New Roman"/>
          <w:sz w:val="26"/>
          <w:szCs w:val="26"/>
          <w:lang w:eastAsia="lv-LV"/>
        </w:rPr>
      </w:pPr>
      <w:r w:rsidRPr="0038447A">
        <w:rPr>
          <w:rFonts w:eastAsia="Times New Roman" w:cs="Times New Roman"/>
          <w:sz w:val="26"/>
          <w:szCs w:val="26"/>
          <w:lang w:eastAsia="lv-LV"/>
        </w:rPr>
        <w:t>v</w:t>
      </w:r>
      <w:r w:rsidR="003B3E57" w:rsidRPr="0038447A">
        <w:rPr>
          <w:rFonts w:eastAsia="Times New Roman" w:cs="Times New Roman"/>
          <w:sz w:val="26"/>
          <w:szCs w:val="26"/>
          <w:lang w:eastAsia="lv-LV"/>
        </w:rPr>
        <w:t xml:space="preserve">eidot mērķorientētu ilgtermiņa sociālo kampaņu, piesaistot jomas profesionāļus, tai skaitā sabiedrisko aktivitāšu veidošanā un Biroja </w:t>
      </w:r>
      <w:r w:rsidR="00E211B2">
        <w:rPr>
          <w:rFonts w:eastAsia="Times New Roman" w:cs="Times New Roman"/>
          <w:sz w:val="26"/>
          <w:szCs w:val="26"/>
          <w:lang w:eastAsia="lv-LV"/>
        </w:rPr>
        <w:t xml:space="preserve">informēšanas instrumentu </w:t>
      </w:r>
      <w:r w:rsidR="003B3E57" w:rsidRPr="0038447A">
        <w:rPr>
          <w:rFonts w:eastAsia="Times New Roman" w:cs="Times New Roman"/>
          <w:sz w:val="26"/>
          <w:szCs w:val="26"/>
          <w:lang w:eastAsia="lv-LV"/>
        </w:rPr>
        <w:t>efektivitā</w:t>
      </w:r>
      <w:r w:rsidR="00BE16A1">
        <w:rPr>
          <w:rFonts w:eastAsia="Times New Roman" w:cs="Times New Roman"/>
          <w:sz w:val="26"/>
          <w:szCs w:val="26"/>
          <w:lang w:eastAsia="lv-LV"/>
        </w:rPr>
        <w:t>tes novērtēšanai un uzlabošanai</w:t>
      </w:r>
      <w:r w:rsidR="003B3E57" w:rsidRPr="0038447A">
        <w:rPr>
          <w:rFonts w:eastAsia="Times New Roman" w:cs="Times New Roman"/>
          <w:sz w:val="26"/>
          <w:szCs w:val="26"/>
          <w:lang w:eastAsia="lv-LV"/>
        </w:rPr>
        <w:t>;</w:t>
      </w:r>
    </w:p>
    <w:p w14:paraId="42D0F394" w14:textId="77777777" w:rsidR="004709EE" w:rsidRPr="0038447A" w:rsidRDefault="00A31F2E" w:rsidP="003A1281">
      <w:pPr>
        <w:numPr>
          <w:ilvl w:val="0"/>
          <w:numId w:val="41"/>
        </w:numPr>
        <w:ind w:left="284" w:hanging="284"/>
        <w:rPr>
          <w:rFonts w:eastAsia="Times New Roman" w:cs="Times New Roman"/>
          <w:sz w:val="26"/>
          <w:szCs w:val="26"/>
          <w:lang w:eastAsia="lv-LV"/>
        </w:rPr>
      </w:pPr>
      <w:r w:rsidRPr="0038447A">
        <w:rPr>
          <w:rFonts w:eastAsia="Times New Roman" w:cs="Times New Roman"/>
          <w:sz w:val="26"/>
          <w:szCs w:val="26"/>
          <w:lang w:eastAsia="lv-LV"/>
        </w:rPr>
        <w:t>s</w:t>
      </w:r>
      <w:r w:rsidR="003B3E57" w:rsidRPr="0038447A">
        <w:rPr>
          <w:rFonts w:eastAsia="Times New Roman" w:cs="Times New Roman"/>
          <w:sz w:val="26"/>
          <w:szCs w:val="26"/>
          <w:lang w:eastAsia="lv-LV"/>
        </w:rPr>
        <w:t>adarbībā ar Valsts administrācijas skolu izstrādāt un ieviest iegūto zināšanu novērtēšanu (testēšanu) tiešsaistē</w:t>
      </w:r>
      <w:r w:rsidR="004709EE" w:rsidRPr="0038447A">
        <w:rPr>
          <w:rFonts w:eastAsia="Times New Roman" w:cs="Times New Roman"/>
          <w:sz w:val="26"/>
          <w:szCs w:val="26"/>
          <w:vertAlign w:val="superscript"/>
          <w:lang w:eastAsia="lv-LV"/>
        </w:rPr>
        <w:footnoteReference w:id="15"/>
      </w:r>
      <w:r w:rsidR="004709EE" w:rsidRPr="0038447A">
        <w:rPr>
          <w:rFonts w:eastAsia="Times New Roman" w:cs="Times New Roman"/>
          <w:sz w:val="26"/>
          <w:szCs w:val="26"/>
          <w:lang w:eastAsia="lv-LV"/>
        </w:rPr>
        <w:t>;</w:t>
      </w:r>
    </w:p>
    <w:p w14:paraId="42D0F395" w14:textId="77777777" w:rsidR="004709EE" w:rsidRPr="0038447A" w:rsidRDefault="00A31F2E" w:rsidP="003A1281">
      <w:pPr>
        <w:numPr>
          <w:ilvl w:val="0"/>
          <w:numId w:val="41"/>
        </w:numPr>
        <w:spacing w:before="100" w:beforeAutospacing="1"/>
        <w:ind w:left="284" w:hanging="284"/>
        <w:rPr>
          <w:rFonts w:eastAsia="Times New Roman" w:cs="Times New Roman"/>
          <w:sz w:val="26"/>
          <w:szCs w:val="26"/>
          <w:lang w:eastAsia="lv-LV"/>
        </w:rPr>
      </w:pPr>
      <w:r w:rsidRPr="0038447A">
        <w:rPr>
          <w:rFonts w:eastAsia="Times New Roman" w:cs="Times New Roman"/>
          <w:sz w:val="26"/>
          <w:szCs w:val="26"/>
          <w:lang w:eastAsia="lv-LV"/>
        </w:rPr>
        <w:t>n</w:t>
      </w:r>
      <w:r w:rsidR="003B3E57" w:rsidRPr="0038447A">
        <w:rPr>
          <w:rFonts w:eastAsia="Times New Roman" w:cs="Times New Roman"/>
          <w:sz w:val="26"/>
          <w:szCs w:val="26"/>
          <w:lang w:eastAsia="lv-LV"/>
        </w:rPr>
        <w:t>odrošināt iespējami plašu pretkorupcijas jautājumu iekļaušanu mācību priekšmetu saturā sadarbībā ar Valsts izglītības satura centru</w:t>
      </w:r>
      <w:r w:rsidR="004709EE" w:rsidRPr="0038447A">
        <w:rPr>
          <w:rFonts w:eastAsia="Times New Roman" w:cs="Times New Roman"/>
          <w:sz w:val="26"/>
          <w:szCs w:val="26"/>
          <w:vertAlign w:val="superscript"/>
          <w:lang w:eastAsia="lv-LV"/>
        </w:rPr>
        <w:footnoteReference w:id="16"/>
      </w:r>
      <w:r w:rsidR="003B3E57" w:rsidRPr="0038447A">
        <w:rPr>
          <w:rFonts w:eastAsia="Times New Roman" w:cs="Times New Roman"/>
          <w:sz w:val="26"/>
          <w:szCs w:val="26"/>
          <w:lang w:eastAsia="lv-LV"/>
        </w:rPr>
        <w:t>.</w:t>
      </w:r>
    </w:p>
    <w:p w14:paraId="42D0F396" w14:textId="77777777" w:rsidR="004709EE" w:rsidRPr="0038447A" w:rsidRDefault="004709EE" w:rsidP="00F47FAD">
      <w:pPr>
        <w:spacing w:before="100" w:beforeAutospacing="1" w:after="240"/>
        <w:ind w:firstLine="0"/>
        <w:rPr>
          <w:rFonts w:eastAsia="Times New Roman" w:cs="Times New Roman"/>
          <w:b/>
          <w:sz w:val="26"/>
          <w:szCs w:val="26"/>
          <w:lang w:eastAsia="lv-LV"/>
        </w:rPr>
      </w:pPr>
      <w:r w:rsidRPr="0038447A">
        <w:rPr>
          <w:b/>
          <w:sz w:val="26"/>
          <w:szCs w:val="26"/>
          <w:u w:val="single"/>
        </w:rPr>
        <w:t>Iesaistītās iestādes:</w:t>
      </w:r>
    </w:p>
    <w:p w14:paraId="42D0F397" w14:textId="77777777" w:rsidR="004709EE" w:rsidRPr="0038447A" w:rsidRDefault="004709EE" w:rsidP="004709EE">
      <w:pPr>
        <w:contextualSpacing/>
        <w:rPr>
          <w:rFonts w:eastAsia="Times New Roman" w:cs="Times New Roman"/>
          <w:sz w:val="26"/>
          <w:szCs w:val="26"/>
          <w:lang w:eastAsia="lv-LV"/>
        </w:rPr>
      </w:pPr>
      <w:r w:rsidRPr="0038447A">
        <w:rPr>
          <w:rFonts w:eastAsia="Times New Roman" w:cs="Times New Roman"/>
          <w:sz w:val="26"/>
          <w:szCs w:val="26"/>
          <w:lang w:eastAsia="lv-LV"/>
        </w:rPr>
        <w:t>1.</w:t>
      </w:r>
      <w:r w:rsidR="003A1281">
        <w:rPr>
          <w:rFonts w:eastAsia="Times New Roman" w:cs="Times New Roman"/>
          <w:sz w:val="26"/>
          <w:szCs w:val="26"/>
          <w:lang w:eastAsia="lv-LV"/>
        </w:rPr>
        <w:t> </w:t>
      </w:r>
      <w:r w:rsidRPr="0038447A">
        <w:rPr>
          <w:rFonts w:eastAsia="Times New Roman" w:cs="Times New Roman"/>
          <w:sz w:val="26"/>
          <w:szCs w:val="26"/>
          <w:lang w:eastAsia="lv-LV"/>
        </w:rPr>
        <w:t xml:space="preserve">Valsts administrācijas skola </w:t>
      </w:r>
    </w:p>
    <w:p w14:paraId="42D0F398" w14:textId="77777777" w:rsidR="004709EE" w:rsidRPr="0038447A" w:rsidRDefault="004709EE" w:rsidP="004709EE">
      <w:pPr>
        <w:contextualSpacing/>
        <w:rPr>
          <w:rFonts w:eastAsia="Times New Roman" w:cs="Times New Roman"/>
          <w:sz w:val="26"/>
          <w:szCs w:val="26"/>
          <w:lang w:eastAsia="lv-LV"/>
        </w:rPr>
      </w:pPr>
      <w:r w:rsidRPr="0038447A">
        <w:rPr>
          <w:rFonts w:eastAsia="Times New Roman" w:cs="Times New Roman"/>
          <w:sz w:val="26"/>
          <w:szCs w:val="26"/>
          <w:lang w:eastAsia="lv-LV"/>
        </w:rPr>
        <w:t xml:space="preserve">2. Valsts izglītības satura centrs </w:t>
      </w:r>
    </w:p>
    <w:p w14:paraId="42D0F399" w14:textId="77777777" w:rsidR="004709EE" w:rsidRDefault="004709EE" w:rsidP="004709EE">
      <w:pPr>
        <w:contextualSpacing/>
        <w:rPr>
          <w:rFonts w:eastAsia="Times New Roman" w:cs="Times New Roman"/>
          <w:sz w:val="26"/>
          <w:szCs w:val="26"/>
          <w:lang w:eastAsia="lv-LV"/>
        </w:rPr>
      </w:pPr>
      <w:r w:rsidRPr="0038447A">
        <w:rPr>
          <w:rFonts w:eastAsia="Times New Roman" w:cs="Times New Roman"/>
          <w:sz w:val="26"/>
          <w:szCs w:val="26"/>
          <w:lang w:eastAsia="lv-LV"/>
        </w:rPr>
        <w:t xml:space="preserve">3. Izglītības un zinātnes ministrija </w:t>
      </w:r>
    </w:p>
    <w:p w14:paraId="42D0F39A" w14:textId="77777777" w:rsidR="00BE16A1" w:rsidRDefault="00BE16A1" w:rsidP="00BE16A1">
      <w:pPr>
        <w:pStyle w:val="NoSpacing"/>
        <w:rPr>
          <w:lang w:eastAsia="lv-LV"/>
        </w:rPr>
      </w:pPr>
    </w:p>
    <w:p w14:paraId="42D0F39B" w14:textId="77777777" w:rsidR="001B338D" w:rsidRPr="0038447A" w:rsidRDefault="006E30BC" w:rsidP="00460E56">
      <w:pPr>
        <w:pStyle w:val="Heading1"/>
        <w:numPr>
          <w:ilvl w:val="2"/>
          <w:numId w:val="29"/>
        </w:numPr>
        <w:spacing w:after="0" w:afterAutospacing="0"/>
        <w:ind w:left="0" w:firstLine="0"/>
        <w:rPr>
          <w:sz w:val="26"/>
          <w:szCs w:val="26"/>
        </w:rPr>
      </w:pPr>
      <w:bookmarkStart w:id="14" w:name="_Toc500150887"/>
      <w:r w:rsidRPr="0038447A">
        <w:rPr>
          <w:sz w:val="26"/>
          <w:szCs w:val="26"/>
        </w:rPr>
        <w:t>Pretkorupcijas politikas plānošana</w:t>
      </w:r>
      <w:r w:rsidR="00EB5BE1" w:rsidRPr="0038447A">
        <w:rPr>
          <w:sz w:val="26"/>
          <w:szCs w:val="26"/>
        </w:rPr>
        <w:t xml:space="preserve"> </w:t>
      </w:r>
      <w:r w:rsidRPr="0038447A">
        <w:rPr>
          <w:sz w:val="26"/>
          <w:szCs w:val="26"/>
        </w:rPr>
        <w:t xml:space="preserve">un </w:t>
      </w:r>
      <w:r w:rsidR="00EB5BE1" w:rsidRPr="0038447A">
        <w:rPr>
          <w:sz w:val="26"/>
          <w:szCs w:val="26"/>
        </w:rPr>
        <w:t>starptautiskā sadarbība</w:t>
      </w:r>
      <w:bookmarkEnd w:id="14"/>
    </w:p>
    <w:p w14:paraId="42D0F39C" w14:textId="77777777" w:rsidR="00EB5BE1" w:rsidRPr="0038447A" w:rsidRDefault="00EB5BE1" w:rsidP="001B338D">
      <w:pPr>
        <w:rPr>
          <w:sz w:val="26"/>
          <w:szCs w:val="26"/>
        </w:rPr>
      </w:pPr>
    </w:p>
    <w:p w14:paraId="42D0F39D" w14:textId="77777777" w:rsidR="00EB5BE1" w:rsidRPr="0038447A" w:rsidRDefault="006031C1" w:rsidP="00EB5BE1">
      <w:pPr>
        <w:pStyle w:val="Heading2"/>
        <w:numPr>
          <w:ilvl w:val="0"/>
          <w:numId w:val="0"/>
        </w:numPr>
        <w:spacing w:after="0" w:afterAutospacing="0"/>
        <w:jc w:val="both"/>
        <w:rPr>
          <w:sz w:val="26"/>
          <w:u w:val="single"/>
        </w:rPr>
      </w:pPr>
      <w:bookmarkStart w:id="15" w:name="_Toc470089094"/>
      <w:bookmarkStart w:id="16" w:name="_Toc470089281"/>
      <w:bookmarkStart w:id="17" w:name="_Toc470189250"/>
      <w:bookmarkStart w:id="18" w:name="_Toc470791163"/>
      <w:bookmarkStart w:id="19" w:name="_Toc470791300"/>
      <w:bookmarkStart w:id="20" w:name="_Toc470851023"/>
      <w:bookmarkStart w:id="21" w:name="_Toc471201806"/>
      <w:bookmarkStart w:id="22" w:name="_Toc476038859"/>
      <w:bookmarkStart w:id="23" w:name="_Toc476057003"/>
      <w:bookmarkStart w:id="24" w:name="_Toc476141216"/>
      <w:bookmarkStart w:id="25" w:name="_Toc476214093"/>
      <w:bookmarkStart w:id="26" w:name="_Toc500150888"/>
      <w:r w:rsidRPr="0038447A">
        <w:rPr>
          <w:sz w:val="26"/>
          <w:u w:val="single"/>
        </w:rPr>
        <w:t>Esošās s</w:t>
      </w:r>
      <w:r w:rsidR="00EB5BE1" w:rsidRPr="0038447A">
        <w:rPr>
          <w:sz w:val="26"/>
          <w:u w:val="single"/>
        </w:rPr>
        <w:t>ituācijas apraksts:</w:t>
      </w:r>
      <w:bookmarkEnd w:id="15"/>
      <w:bookmarkEnd w:id="16"/>
      <w:bookmarkEnd w:id="17"/>
      <w:bookmarkEnd w:id="18"/>
      <w:bookmarkEnd w:id="19"/>
      <w:bookmarkEnd w:id="20"/>
      <w:bookmarkEnd w:id="21"/>
      <w:bookmarkEnd w:id="22"/>
      <w:bookmarkEnd w:id="23"/>
      <w:bookmarkEnd w:id="24"/>
      <w:bookmarkEnd w:id="25"/>
      <w:bookmarkEnd w:id="26"/>
      <w:r w:rsidR="00EB5BE1" w:rsidRPr="0038447A">
        <w:rPr>
          <w:sz w:val="26"/>
          <w:u w:val="single"/>
        </w:rPr>
        <w:t xml:space="preserve"> </w:t>
      </w:r>
    </w:p>
    <w:p w14:paraId="42D0F39E" w14:textId="77777777" w:rsidR="00EB5BE1" w:rsidRPr="0038447A" w:rsidRDefault="00EB5BE1" w:rsidP="00EB5BE1">
      <w:pPr>
        <w:rPr>
          <w:sz w:val="26"/>
          <w:szCs w:val="26"/>
        </w:rPr>
      </w:pPr>
    </w:p>
    <w:p w14:paraId="42D0F39F" w14:textId="77777777" w:rsidR="00BE16A1" w:rsidRPr="00BE16A1" w:rsidRDefault="00BE16A1" w:rsidP="00BE16A1">
      <w:pPr>
        <w:ind w:firstLine="709"/>
        <w:rPr>
          <w:rFonts w:cs="Times New Roman"/>
          <w:sz w:val="26"/>
          <w:szCs w:val="26"/>
        </w:rPr>
      </w:pPr>
      <w:r w:rsidRPr="00BE16A1">
        <w:rPr>
          <w:rFonts w:cs="Times New Roman"/>
          <w:sz w:val="26"/>
          <w:szCs w:val="26"/>
        </w:rPr>
        <w:t>Atbilstoši Korupcijas novēršanas un apkarošanas biroja likumā noteiktajam Birojs:</w:t>
      </w:r>
    </w:p>
    <w:p w14:paraId="42D0F3A0" w14:textId="77777777" w:rsidR="00BE16A1" w:rsidRDefault="00BE16A1" w:rsidP="00BE16A1">
      <w:pPr>
        <w:pStyle w:val="ListParagraph"/>
        <w:numPr>
          <w:ilvl w:val="0"/>
          <w:numId w:val="50"/>
        </w:numPr>
        <w:ind w:left="993" w:hanging="284"/>
        <w:rPr>
          <w:rFonts w:cs="Times New Roman"/>
          <w:sz w:val="26"/>
          <w:szCs w:val="26"/>
        </w:rPr>
      </w:pPr>
      <w:r w:rsidRPr="00BE16A1">
        <w:rPr>
          <w:rFonts w:cs="Times New Roman"/>
          <w:sz w:val="26"/>
          <w:szCs w:val="26"/>
        </w:rPr>
        <w:t>izstrādā korupcijas novēršanas un apkarošanas stratēģiju un valsts programmu, kuru apstiprina Ministru kabinets;</w:t>
      </w:r>
    </w:p>
    <w:p w14:paraId="42D0F3A1" w14:textId="77777777" w:rsidR="00BE16A1" w:rsidRPr="0038447A" w:rsidRDefault="00BE16A1" w:rsidP="00BE16A1">
      <w:pPr>
        <w:pStyle w:val="ListParagraph"/>
        <w:numPr>
          <w:ilvl w:val="0"/>
          <w:numId w:val="50"/>
        </w:numPr>
        <w:tabs>
          <w:tab w:val="left" w:pos="993"/>
        </w:tabs>
        <w:ind w:left="993" w:hanging="284"/>
        <w:rPr>
          <w:sz w:val="26"/>
          <w:szCs w:val="26"/>
        </w:rPr>
      </w:pPr>
      <w:r w:rsidRPr="0038447A">
        <w:rPr>
          <w:sz w:val="26"/>
          <w:szCs w:val="26"/>
        </w:rPr>
        <w:t>koordinē valsts programmā minēto institūciju sadarbību, lai nodrošinātu programmas izpildi;</w:t>
      </w:r>
    </w:p>
    <w:p w14:paraId="42D0F3A2" w14:textId="77777777" w:rsidR="00BE16A1" w:rsidRDefault="00BE16A1" w:rsidP="00BE16A1">
      <w:pPr>
        <w:pStyle w:val="ListParagraph"/>
        <w:numPr>
          <w:ilvl w:val="0"/>
          <w:numId w:val="50"/>
        </w:numPr>
        <w:ind w:left="993" w:hanging="284"/>
        <w:rPr>
          <w:rFonts w:cs="Times New Roman"/>
          <w:sz w:val="26"/>
          <w:szCs w:val="26"/>
        </w:rPr>
      </w:pPr>
      <w:r w:rsidRPr="00BE16A1">
        <w:rPr>
          <w:rFonts w:cs="Times New Roman"/>
          <w:sz w:val="26"/>
          <w:szCs w:val="26"/>
        </w:rPr>
        <w:t>analizē normatīvos aktus un normatīvo aktu projektus, kā arī ierosina izdarīt tajos grozījumus, iesniedz priekšlikumus jaunu normatīvo aktu projektu izstrādāšanai;</w:t>
      </w:r>
    </w:p>
    <w:p w14:paraId="42D0F3A3" w14:textId="77777777" w:rsidR="00BE16A1" w:rsidRPr="00BE16A1" w:rsidRDefault="00BE16A1" w:rsidP="00BE16A1">
      <w:pPr>
        <w:pStyle w:val="ListParagraph"/>
        <w:numPr>
          <w:ilvl w:val="0"/>
          <w:numId w:val="50"/>
        </w:numPr>
        <w:ind w:left="993" w:hanging="284"/>
        <w:rPr>
          <w:rFonts w:cs="Times New Roman"/>
          <w:sz w:val="26"/>
          <w:szCs w:val="26"/>
        </w:rPr>
      </w:pPr>
      <w:r w:rsidRPr="00BE16A1">
        <w:rPr>
          <w:rFonts w:cs="Times New Roman"/>
          <w:sz w:val="26"/>
          <w:szCs w:val="26"/>
        </w:rPr>
        <w:t>apkopo un analizē citu valstu pieredzi korupcijas novēršanā un apkaro</w:t>
      </w:r>
      <w:r>
        <w:rPr>
          <w:rFonts w:cs="Times New Roman"/>
          <w:sz w:val="26"/>
          <w:szCs w:val="26"/>
        </w:rPr>
        <w:t>šanā.</w:t>
      </w:r>
    </w:p>
    <w:p w14:paraId="42D0F3A4" w14:textId="77777777" w:rsidR="00201FF5" w:rsidRPr="0038447A" w:rsidRDefault="00201FF5" w:rsidP="00F257E2">
      <w:pPr>
        <w:rPr>
          <w:sz w:val="26"/>
          <w:szCs w:val="26"/>
        </w:rPr>
      </w:pPr>
      <w:r w:rsidRPr="0038447A">
        <w:rPr>
          <w:sz w:val="26"/>
          <w:szCs w:val="26"/>
        </w:rPr>
        <w:t xml:space="preserve">Ar </w:t>
      </w:r>
      <w:r w:rsidR="000022A6">
        <w:rPr>
          <w:sz w:val="26"/>
          <w:szCs w:val="26"/>
        </w:rPr>
        <w:t xml:space="preserve">Ministru kabineta </w:t>
      </w:r>
      <w:r w:rsidRPr="0038447A">
        <w:rPr>
          <w:sz w:val="26"/>
          <w:szCs w:val="26"/>
        </w:rPr>
        <w:t>2015.gada 16.jūlija rīkojumu Nr.393</w:t>
      </w:r>
      <w:r w:rsidR="000022A6">
        <w:rPr>
          <w:sz w:val="26"/>
          <w:szCs w:val="26"/>
        </w:rPr>
        <w:t xml:space="preserve"> “</w:t>
      </w:r>
      <w:r w:rsidR="000022A6" w:rsidRPr="000022A6">
        <w:rPr>
          <w:sz w:val="26"/>
          <w:szCs w:val="26"/>
        </w:rPr>
        <w:t>Par Korupcijas novēršanas un apkarošanas pamatnostādnēm 2015.–2020.gadam</w:t>
      </w:r>
      <w:r w:rsidR="000022A6">
        <w:rPr>
          <w:sz w:val="26"/>
          <w:szCs w:val="26"/>
        </w:rPr>
        <w:t>”</w:t>
      </w:r>
      <w:r w:rsidRPr="0038447A">
        <w:rPr>
          <w:sz w:val="26"/>
          <w:szCs w:val="26"/>
        </w:rPr>
        <w:t xml:space="preserve"> tika apstiprinātas </w:t>
      </w:r>
      <w:r w:rsidR="00007B61">
        <w:rPr>
          <w:sz w:val="26"/>
          <w:szCs w:val="26"/>
        </w:rPr>
        <w:t>k</w:t>
      </w:r>
      <w:r w:rsidRPr="0038447A">
        <w:rPr>
          <w:sz w:val="26"/>
          <w:szCs w:val="26"/>
        </w:rPr>
        <w:t>orupcijas novēršanas un a</w:t>
      </w:r>
      <w:r w:rsidR="00C92469" w:rsidRPr="0038447A">
        <w:rPr>
          <w:sz w:val="26"/>
          <w:szCs w:val="26"/>
        </w:rPr>
        <w:t>pkarošanas pamatnostādnes 2015.</w:t>
      </w:r>
      <w:r w:rsidR="00C92469" w:rsidRPr="0038447A">
        <w:rPr>
          <w:rFonts w:cs="Times New Roman"/>
          <w:sz w:val="26"/>
          <w:szCs w:val="26"/>
        </w:rPr>
        <w:t>‒</w:t>
      </w:r>
      <w:r w:rsidRPr="0038447A">
        <w:rPr>
          <w:sz w:val="26"/>
          <w:szCs w:val="26"/>
        </w:rPr>
        <w:t>2020.gadam</w:t>
      </w:r>
      <w:r w:rsidR="00F257E2">
        <w:rPr>
          <w:sz w:val="26"/>
          <w:szCs w:val="26"/>
        </w:rPr>
        <w:t xml:space="preserve"> (turpmāk – Pamatnostādnes)</w:t>
      </w:r>
      <w:r w:rsidRPr="0038447A">
        <w:rPr>
          <w:sz w:val="26"/>
          <w:szCs w:val="26"/>
        </w:rPr>
        <w:t xml:space="preserve">. </w:t>
      </w:r>
      <w:r w:rsidR="00B9524C" w:rsidRPr="0038447A">
        <w:rPr>
          <w:sz w:val="26"/>
          <w:szCs w:val="26"/>
        </w:rPr>
        <w:t>Šo Pamatnostādņu mērķis ir raksturot aktuālo situāciju korupcijas novēršanā un apkarošanā Latv</w:t>
      </w:r>
      <w:r w:rsidR="00C75BE2" w:rsidRPr="0038447A">
        <w:rPr>
          <w:sz w:val="26"/>
          <w:szCs w:val="26"/>
        </w:rPr>
        <w:t>ijā, definēt aktuālās problēmas un</w:t>
      </w:r>
      <w:r w:rsidR="00B9524C" w:rsidRPr="0038447A">
        <w:rPr>
          <w:sz w:val="26"/>
          <w:szCs w:val="26"/>
        </w:rPr>
        <w:t xml:space="preserve"> noteikt mērķus, rīcības virzienus un uzdevumus to ris</w:t>
      </w:r>
      <w:r w:rsidR="00C92469" w:rsidRPr="0038447A">
        <w:rPr>
          <w:sz w:val="26"/>
          <w:szCs w:val="26"/>
        </w:rPr>
        <w:t>ināšanai laika periodā no 2015.</w:t>
      </w:r>
      <w:r w:rsidR="00C92469" w:rsidRPr="0038447A">
        <w:rPr>
          <w:rFonts w:cs="Times New Roman"/>
          <w:sz w:val="26"/>
          <w:szCs w:val="26"/>
        </w:rPr>
        <w:t>‒</w:t>
      </w:r>
      <w:r w:rsidR="00B9524C" w:rsidRPr="0038447A">
        <w:rPr>
          <w:sz w:val="26"/>
          <w:szCs w:val="26"/>
        </w:rPr>
        <w:t>2020.gadam.</w:t>
      </w:r>
    </w:p>
    <w:p w14:paraId="42D0F3A5" w14:textId="77777777" w:rsidR="00876811" w:rsidRDefault="00940977" w:rsidP="00B64FF7">
      <w:pPr>
        <w:rPr>
          <w:rFonts w:eastAsia="Times New Roman" w:cs="Times New Roman"/>
          <w:sz w:val="26"/>
          <w:szCs w:val="26"/>
          <w:lang w:eastAsia="lv-LV"/>
        </w:rPr>
      </w:pPr>
      <w:r w:rsidRPr="0038447A">
        <w:rPr>
          <w:rFonts w:eastAsia="Times New Roman" w:cs="Times New Roman"/>
          <w:sz w:val="26"/>
          <w:szCs w:val="26"/>
          <w:lang w:eastAsia="lv-LV"/>
        </w:rPr>
        <w:lastRenderedPageBreak/>
        <w:t>Izstrādājot Pamatnostādnes</w:t>
      </w:r>
      <w:r w:rsidR="00BC54EC" w:rsidRPr="0038447A">
        <w:rPr>
          <w:rFonts w:eastAsia="Times New Roman" w:cs="Times New Roman"/>
          <w:sz w:val="26"/>
          <w:szCs w:val="26"/>
          <w:lang w:eastAsia="lv-LV"/>
        </w:rPr>
        <w:t xml:space="preserve"> </w:t>
      </w:r>
      <w:r w:rsidR="00B9524C" w:rsidRPr="0038447A">
        <w:rPr>
          <w:rFonts w:eastAsia="Times New Roman" w:cs="Times New Roman"/>
          <w:sz w:val="26"/>
          <w:szCs w:val="26"/>
          <w:lang w:eastAsia="lv-LV"/>
        </w:rPr>
        <w:t>ir ņemtas vērā dažādos analītiskajos ziņojumos izteiktās rekomendācijas par nepieciešamajiem uzlabojumiem, tai skaitā arī Biroja veikto pārbaužu un izmeklēto krimināllietu ietvaros konstatētais.</w:t>
      </w:r>
      <w:r w:rsidR="00876811">
        <w:rPr>
          <w:rFonts w:eastAsia="Times New Roman" w:cs="Times New Roman"/>
          <w:sz w:val="26"/>
          <w:szCs w:val="26"/>
          <w:lang w:eastAsia="lv-LV"/>
        </w:rPr>
        <w:t xml:space="preserve"> </w:t>
      </w:r>
      <w:r w:rsidR="00B9524C" w:rsidRPr="0038447A">
        <w:rPr>
          <w:rFonts w:eastAsia="Times New Roman" w:cs="Times New Roman"/>
          <w:sz w:val="26"/>
          <w:szCs w:val="26"/>
          <w:lang w:eastAsia="lv-LV"/>
        </w:rPr>
        <w:t xml:space="preserve">Astoņu </w:t>
      </w:r>
      <w:r w:rsidR="002D1732" w:rsidRPr="0038447A">
        <w:rPr>
          <w:rFonts w:eastAsia="Times New Roman" w:cs="Times New Roman"/>
          <w:sz w:val="26"/>
          <w:szCs w:val="26"/>
          <w:lang w:eastAsia="lv-LV"/>
        </w:rPr>
        <w:t xml:space="preserve">Pamatnostādnēs iekļauto </w:t>
      </w:r>
      <w:r w:rsidR="00B9524C" w:rsidRPr="0038447A">
        <w:rPr>
          <w:rFonts w:eastAsia="Times New Roman" w:cs="Times New Roman"/>
          <w:sz w:val="26"/>
          <w:szCs w:val="26"/>
          <w:lang w:eastAsia="lv-LV"/>
        </w:rPr>
        <w:t>apakšmērķu sasniegšanai ir izstrādāts uzdevumu un pasākumu plāns, k</w:t>
      </w:r>
      <w:r w:rsidR="002D1732" w:rsidRPr="0038447A">
        <w:rPr>
          <w:rFonts w:eastAsia="Times New Roman" w:cs="Times New Roman"/>
          <w:sz w:val="26"/>
          <w:szCs w:val="26"/>
          <w:lang w:eastAsia="lv-LV"/>
        </w:rPr>
        <w:t>ura ietvaros</w:t>
      </w:r>
      <w:r w:rsidR="00B9524C" w:rsidRPr="0038447A">
        <w:rPr>
          <w:rFonts w:eastAsia="Times New Roman" w:cs="Times New Roman"/>
          <w:sz w:val="26"/>
          <w:szCs w:val="26"/>
          <w:lang w:eastAsia="lv-LV"/>
        </w:rPr>
        <w:t xml:space="preserve"> paredz</w:t>
      </w:r>
      <w:r w:rsidR="002D1732" w:rsidRPr="0038447A">
        <w:rPr>
          <w:rFonts w:eastAsia="Times New Roman" w:cs="Times New Roman"/>
          <w:sz w:val="26"/>
          <w:szCs w:val="26"/>
          <w:lang w:eastAsia="lv-LV"/>
        </w:rPr>
        <w:t>ēts</w:t>
      </w:r>
      <w:r w:rsidR="00B9524C" w:rsidRPr="0038447A">
        <w:rPr>
          <w:rFonts w:eastAsia="Times New Roman" w:cs="Times New Roman"/>
          <w:sz w:val="26"/>
          <w:szCs w:val="26"/>
          <w:lang w:eastAsia="lv-LV"/>
        </w:rPr>
        <w:t xml:space="preserve"> īstenot 135 pasākumus, t.sk. </w:t>
      </w:r>
      <w:r w:rsidR="00CA2669" w:rsidRPr="0038447A">
        <w:rPr>
          <w:rFonts w:eastAsia="Times New Roman" w:cs="Times New Roman"/>
          <w:sz w:val="26"/>
          <w:szCs w:val="26"/>
          <w:lang w:eastAsia="lv-LV"/>
        </w:rPr>
        <w:t xml:space="preserve">izdarīt </w:t>
      </w:r>
      <w:r w:rsidR="00B9524C" w:rsidRPr="0038447A">
        <w:rPr>
          <w:rFonts w:eastAsia="Times New Roman" w:cs="Times New Roman"/>
          <w:sz w:val="26"/>
          <w:szCs w:val="26"/>
          <w:lang w:eastAsia="lv-LV"/>
        </w:rPr>
        <w:t xml:space="preserve">grozījumus tiesību aktos, </w:t>
      </w:r>
      <w:r w:rsidR="00CA2669" w:rsidRPr="0038447A">
        <w:rPr>
          <w:rFonts w:eastAsia="Times New Roman" w:cs="Times New Roman"/>
          <w:sz w:val="26"/>
          <w:szCs w:val="26"/>
          <w:lang w:eastAsia="lv-LV"/>
        </w:rPr>
        <w:t>uzlabot institūciju funkcijas</w:t>
      </w:r>
      <w:r w:rsidR="00B9524C" w:rsidRPr="0038447A">
        <w:rPr>
          <w:rFonts w:eastAsia="Times New Roman" w:cs="Times New Roman"/>
          <w:sz w:val="26"/>
          <w:szCs w:val="26"/>
          <w:lang w:eastAsia="lv-LV"/>
        </w:rPr>
        <w:t>, iniciatīvas, kas vērstas uz zināšanu apguvi un izpratnes veicināšanu par pretkorupcijas politiku.</w:t>
      </w:r>
      <w:r w:rsidR="00876811">
        <w:rPr>
          <w:rFonts w:eastAsia="Times New Roman" w:cs="Times New Roman"/>
          <w:sz w:val="26"/>
          <w:szCs w:val="26"/>
          <w:lang w:eastAsia="lv-LV"/>
        </w:rPr>
        <w:t xml:space="preserve"> </w:t>
      </w:r>
      <w:r w:rsidR="00B9524C" w:rsidRPr="0038447A">
        <w:rPr>
          <w:rFonts w:eastAsia="Times New Roman" w:cs="Times New Roman"/>
          <w:sz w:val="26"/>
          <w:szCs w:val="26"/>
          <w:lang w:eastAsia="lv-LV"/>
        </w:rPr>
        <w:t xml:space="preserve">Lai </w:t>
      </w:r>
      <w:r w:rsidR="00EB5BE1" w:rsidRPr="0038447A">
        <w:rPr>
          <w:rFonts w:eastAsia="Times New Roman" w:cs="Times New Roman"/>
          <w:sz w:val="26"/>
          <w:szCs w:val="26"/>
          <w:lang w:eastAsia="lv-LV"/>
        </w:rPr>
        <w:t>novērstu</w:t>
      </w:r>
      <w:r w:rsidR="00B9524C" w:rsidRPr="0038447A">
        <w:rPr>
          <w:rFonts w:eastAsia="Times New Roman" w:cs="Times New Roman"/>
          <w:sz w:val="26"/>
          <w:szCs w:val="26"/>
          <w:lang w:eastAsia="lv-LV"/>
        </w:rPr>
        <w:t xml:space="preserve"> iestāžu darbinieku motivāciju koruptīvai rīcībai, minētajās Pamatnostādnēs īpaši tiek akcentēta publiskās pārvaldes cilvēkresursu vadības politika.</w:t>
      </w:r>
      <w:r w:rsidR="00876811">
        <w:rPr>
          <w:rFonts w:eastAsia="Times New Roman" w:cs="Times New Roman"/>
          <w:sz w:val="26"/>
          <w:szCs w:val="26"/>
          <w:lang w:eastAsia="lv-LV"/>
        </w:rPr>
        <w:t xml:space="preserve"> </w:t>
      </w:r>
      <w:r w:rsidR="00B64FF7" w:rsidRPr="0038447A">
        <w:rPr>
          <w:rFonts w:eastAsia="Times New Roman" w:cs="Times New Roman"/>
          <w:sz w:val="26"/>
          <w:szCs w:val="26"/>
          <w:lang w:eastAsia="lv-LV"/>
        </w:rPr>
        <w:t xml:space="preserve">Pamatnostādnēs pirmo reizi ir ietverti pasākumi ar mērķi ierobežot korupcijas </w:t>
      </w:r>
      <w:r w:rsidR="00876811" w:rsidRPr="0038447A">
        <w:rPr>
          <w:rFonts w:eastAsia="Times New Roman" w:cs="Times New Roman"/>
          <w:sz w:val="26"/>
          <w:szCs w:val="26"/>
          <w:lang w:eastAsia="lv-LV"/>
        </w:rPr>
        <w:t>izplatību privātajā sektorā</w:t>
      </w:r>
      <w:r w:rsidR="00876811">
        <w:rPr>
          <w:rFonts w:eastAsia="Times New Roman" w:cs="Times New Roman"/>
          <w:sz w:val="26"/>
          <w:szCs w:val="26"/>
          <w:lang w:eastAsia="lv-LV"/>
        </w:rPr>
        <w:t>.</w:t>
      </w:r>
    </w:p>
    <w:p w14:paraId="42D0F3A6" w14:textId="77777777" w:rsidR="00876811" w:rsidRDefault="00B9524C" w:rsidP="0082678E">
      <w:pPr>
        <w:rPr>
          <w:rFonts w:eastAsia="Times New Roman" w:cs="Times New Roman"/>
          <w:sz w:val="26"/>
          <w:szCs w:val="26"/>
          <w:lang w:eastAsia="lv-LV"/>
        </w:rPr>
      </w:pPr>
      <w:r w:rsidRPr="0038447A">
        <w:rPr>
          <w:rFonts w:eastAsia="Times New Roman" w:cs="Times New Roman"/>
          <w:sz w:val="26"/>
          <w:szCs w:val="26"/>
          <w:lang w:eastAsia="lv-LV"/>
        </w:rPr>
        <w:t xml:space="preserve">Savukārt, lai izveidotu tādu patstāvīgi darbojošos institūciju iekšējās kontroles sistēmu, kas maksimāli ierobežo korupcijas rašanās iespējas </w:t>
      </w:r>
      <w:r w:rsidR="00BC54EC" w:rsidRPr="0038447A">
        <w:rPr>
          <w:rFonts w:eastAsia="Times New Roman" w:cs="Times New Roman"/>
          <w:sz w:val="26"/>
          <w:szCs w:val="26"/>
          <w:lang w:eastAsia="lv-LV"/>
        </w:rPr>
        <w:t>publiskajā</w:t>
      </w:r>
      <w:r w:rsidRPr="0038447A">
        <w:rPr>
          <w:rFonts w:eastAsia="Times New Roman" w:cs="Times New Roman"/>
          <w:sz w:val="26"/>
          <w:szCs w:val="26"/>
          <w:lang w:eastAsia="lv-LV"/>
        </w:rPr>
        <w:t xml:space="preserve"> sektorā, ir nepieciešama efektīvas iekšējās kontroles sistēmas izveide publiskas personas</w:t>
      </w:r>
      <w:r w:rsidR="00876811" w:rsidRPr="00876811">
        <w:rPr>
          <w:rFonts w:eastAsia="Times New Roman" w:cs="Times New Roman"/>
          <w:sz w:val="26"/>
          <w:szCs w:val="26"/>
          <w:lang w:eastAsia="lv-LV"/>
        </w:rPr>
        <w:t xml:space="preserve"> </w:t>
      </w:r>
      <w:r w:rsidR="00876811" w:rsidRPr="0038447A">
        <w:rPr>
          <w:rFonts w:eastAsia="Times New Roman" w:cs="Times New Roman"/>
          <w:sz w:val="26"/>
          <w:szCs w:val="26"/>
          <w:lang w:eastAsia="lv-LV"/>
        </w:rPr>
        <w:t>institūcijās, tajā skaitā pašvaldībās un publiskas personas kapitālsabiedrībās</w:t>
      </w:r>
      <w:r w:rsidR="00876811">
        <w:rPr>
          <w:rFonts w:eastAsia="Times New Roman" w:cs="Times New Roman"/>
          <w:sz w:val="26"/>
          <w:szCs w:val="26"/>
          <w:lang w:eastAsia="lv-LV"/>
        </w:rPr>
        <w:t>.</w:t>
      </w:r>
    </w:p>
    <w:p w14:paraId="42D0F3A7" w14:textId="77777777" w:rsidR="00B9524C" w:rsidRPr="0038447A" w:rsidRDefault="002B32B7" w:rsidP="0082678E">
      <w:pPr>
        <w:rPr>
          <w:sz w:val="26"/>
          <w:szCs w:val="26"/>
        </w:rPr>
      </w:pPr>
      <w:r w:rsidRPr="0038447A">
        <w:rPr>
          <w:sz w:val="26"/>
          <w:szCs w:val="26"/>
        </w:rPr>
        <w:t>Lai arī līdz šim atsevišķās publiskas personas institūcijās ir bijušas savas iekšējās pretkorupcijas sistēmas vai plāni, tomēr Birojs ir konstatējis</w:t>
      </w:r>
      <w:r w:rsidR="004357F8" w:rsidRPr="0038447A">
        <w:rPr>
          <w:rStyle w:val="FootnoteReference"/>
          <w:sz w:val="26"/>
          <w:szCs w:val="26"/>
        </w:rPr>
        <w:footnoteReference w:id="17"/>
      </w:r>
      <w:r w:rsidRPr="0038447A">
        <w:rPr>
          <w:sz w:val="26"/>
          <w:szCs w:val="26"/>
        </w:rPr>
        <w:t>, ka tās nesasniedz izvirzīto mērķi, kā arī nav vienotas pieejas (prasības) to ieviešanā. Lai palīdzētu publiskas personas institūcijām līdz 2018.gada 31.decembrim izveidot iekšējās kontroles sistēmu, Birojs izdos un skaidros vadlīnijas par iekšējās kontroles sistēmas pamatprasībām korupcijas un interešu konflikta novēršanai publikas personas institūcijās</w:t>
      </w:r>
      <w:r w:rsidR="00B9524C" w:rsidRPr="0038447A">
        <w:rPr>
          <w:sz w:val="26"/>
          <w:szCs w:val="26"/>
        </w:rPr>
        <w:t>.</w:t>
      </w:r>
    </w:p>
    <w:p w14:paraId="42D0F3A8" w14:textId="77777777" w:rsidR="002B32B7" w:rsidRPr="0038447A" w:rsidRDefault="002B32B7" w:rsidP="002B32B7">
      <w:pPr>
        <w:pStyle w:val="NoSpacing"/>
        <w:jc w:val="both"/>
        <w:rPr>
          <w:b w:val="0"/>
          <w:sz w:val="26"/>
          <w:szCs w:val="26"/>
        </w:rPr>
      </w:pPr>
      <w:r w:rsidRPr="0038447A">
        <w:rPr>
          <w:b w:val="0"/>
          <w:sz w:val="26"/>
          <w:szCs w:val="26"/>
        </w:rPr>
        <w:tab/>
        <w:t xml:space="preserve">Ņemot vērā, ka 2017.gada 1.martā ir stājies spēkā jauns Publisko iepirkumu likums un likumdevējs ir </w:t>
      </w:r>
      <w:r w:rsidR="00B940E8">
        <w:rPr>
          <w:b w:val="0"/>
          <w:sz w:val="26"/>
          <w:szCs w:val="26"/>
        </w:rPr>
        <w:t>palielinājis</w:t>
      </w:r>
      <w:r w:rsidRPr="0038447A">
        <w:rPr>
          <w:b w:val="0"/>
          <w:sz w:val="26"/>
          <w:szCs w:val="26"/>
        </w:rPr>
        <w:t xml:space="preserve"> līgumcenas sliekšņus, no kuriem piemērojams tiesiskais regulējums, kā arī ievērojot apstākli, ka ārpus Publisko iepirkumu likuma kontroles šobrīd paliek aptuveni 34% iepirkumu, kas ir </w:t>
      </w:r>
      <w:r w:rsidR="00B940E8">
        <w:rPr>
          <w:b w:val="0"/>
          <w:sz w:val="26"/>
          <w:szCs w:val="26"/>
        </w:rPr>
        <w:t>t.s. “</w:t>
      </w:r>
      <w:proofErr w:type="spellStart"/>
      <w:r w:rsidRPr="0038447A">
        <w:rPr>
          <w:b w:val="0"/>
          <w:sz w:val="26"/>
          <w:szCs w:val="26"/>
        </w:rPr>
        <w:t>zemsliekšņu</w:t>
      </w:r>
      <w:proofErr w:type="spellEnd"/>
      <w:r w:rsidR="00B940E8">
        <w:rPr>
          <w:b w:val="0"/>
          <w:sz w:val="26"/>
          <w:szCs w:val="26"/>
        </w:rPr>
        <w:t>”</w:t>
      </w:r>
      <w:r w:rsidRPr="0038447A">
        <w:rPr>
          <w:b w:val="0"/>
          <w:sz w:val="26"/>
          <w:szCs w:val="26"/>
        </w:rPr>
        <w:t xml:space="preserve"> iepirkumi, līdzšinējo 14% vietā jeb aptuveni 998 miljoni </w:t>
      </w:r>
      <w:proofErr w:type="spellStart"/>
      <w:r w:rsidRPr="0038447A">
        <w:rPr>
          <w:b w:val="0"/>
          <w:i/>
          <w:sz w:val="26"/>
          <w:szCs w:val="26"/>
        </w:rPr>
        <w:t>euro</w:t>
      </w:r>
      <w:proofErr w:type="spellEnd"/>
      <w:r w:rsidRPr="0038447A">
        <w:rPr>
          <w:b w:val="0"/>
          <w:sz w:val="26"/>
          <w:szCs w:val="26"/>
        </w:rPr>
        <w:t xml:space="preserve"> bez PVN, Birojs padziļināti analizēs finanšu līdzekļu izšķērdēšanas, kā arī korupcijas riskus “zemsliekšņa” iepirkumos un iegādēs, kuru veikšanā nav jāpiemēro ārējo normatīvo aktu regulējums, un snieg</w:t>
      </w:r>
      <w:r w:rsidR="00B940E8">
        <w:rPr>
          <w:b w:val="0"/>
          <w:sz w:val="26"/>
          <w:szCs w:val="26"/>
        </w:rPr>
        <w:t>s</w:t>
      </w:r>
      <w:r w:rsidRPr="0038447A">
        <w:rPr>
          <w:b w:val="0"/>
          <w:sz w:val="26"/>
          <w:szCs w:val="26"/>
        </w:rPr>
        <w:t xml:space="preserve"> priekšlikumus risku mazināšanai.</w:t>
      </w:r>
    </w:p>
    <w:p w14:paraId="42D0F3A9" w14:textId="77777777" w:rsidR="004357F8" w:rsidRPr="0038447A" w:rsidRDefault="00AC0732" w:rsidP="00906933">
      <w:pPr>
        <w:rPr>
          <w:sz w:val="26"/>
          <w:szCs w:val="26"/>
        </w:rPr>
      </w:pPr>
      <w:r w:rsidRPr="00876811">
        <w:rPr>
          <w:sz w:val="26"/>
          <w:szCs w:val="26"/>
        </w:rPr>
        <w:t xml:space="preserve">Joprojām nav </w:t>
      </w:r>
      <w:r w:rsidR="00EE53A3" w:rsidRPr="00876811">
        <w:rPr>
          <w:sz w:val="26"/>
          <w:szCs w:val="26"/>
        </w:rPr>
        <w:t>noregulēt</w:t>
      </w:r>
      <w:r w:rsidR="00B940E8">
        <w:rPr>
          <w:sz w:val="26"/>
          <w:szCs w:val="26"/>
        </w:rPr>
        <w:t>i</w:t>
      </w:r>
      <w:r w:rsidR="00EE53A3" w:rsidRPr="00876811">
        <w:rPr>
          <w:sz w:val="26"/>
          <w:szCs w:val="26"/>
        </w:rPr>
        <w:t xml:space="preserve"> lēmumu pieņēmēju komu</w:t>
      </w:r>
      <w:r w:rsidR="00B940E8">
        <w:rPr>
          <w:sz w:val="26"/>
          <w:szCs w:val="26"/>
        </w:rPr>
        <w:t>n</w:t>
      </w:r>
      <w:r w:rsidR="00EE53A3" w:rsidRPr="00876811">
        <w:rPr>
          <w:sz w:val="26"/>
          <w:szCs w:val="26"/>
        </w:rPr>
        <w:t xml:space="preserve">ikācijas principi ar privātpersonām, kuras mēģina ietekmēt lēmumu pieņemšanu, pārstāvot konkrētas intereses. Jānorāda, ka </w:t>
      </w:r>
      <w:r w:rsidR="00EE53A3" w:rsidRPr="00876811">
        <w:rPr>
          <w:color w:val="000000"/>
          <w:sz w:val="26"/>
          <w:szCs w:val="26"/>
          <w:lang w:eastAsia="lv-LV"/>
        </w:rPr>
        <w:t xml:space="preserve">starptautisko organizāciju rekomendācijās īpaša uzmanība ir pievērsta tieši likumdošanas varai, proti, nav </w:t>
      </w:r>
      <w:r w:rsidRPr="00876811">
        <w:rPr>
          <w:sz w:val="26"/>
          <w:szCs w:val="26"/>
        </w:rPr>
        <w:t xml:space="preserve">pieņemts regulējums </w:t>
      </w:r>
      <w:r w:rsidR="00742B7E" w:rsidRPr="00876811">
        <w:rPr>
          <w:sz w:val="26"/>
          <w:szCs w:val="26"/>
        </w:rPr>
        <w:t>interešu pārstāvības</w:t>
      </w:r>
      <w:r w:rsidRPr="00876811">
        <w:rPr>
          <w:sz w:val="26"/>
          <w:szCs w:val="26"/>
        </w:rPr>
        <w:t xml:space="preserve"> procesa nodrošināšanai</w:t>
      </w:r>
      <w:r w:rsidR="00077C39" w:rsidRPr="00876811">
        <w:rPr>
          <w:sz w:val="26"/>
          <w:szCs w:val="26"/>
        </w:rPr>
        <w:t xml:space="preserve">, kas attiektos uz </w:t>
      </w:r>
      <w:r w:rsidR="004357F8" w:rsidRPr="00876811">
        <w:rPr>
          <w:sz w:val="26"/>
          <w:szCs w:val="26"/>
        </w:rPr>
        <w:t>parlamenta pārstāvju, t.i., Saeimas deputātu darbu</w:t>
      </w:r>
      <w:r w:rsidR="00B940E8">
        <w:rPr>
          <w:sz w:val="26"/>
          <w:szCs w:val="26"/>
        </w:rPr>
        <w:t>,</w:t>
      </w:r>
      <w:r w:rsidR="0086650C" w:rsidRPr="00876811">
        <w:rPr>
          <w:sz w:val="26"/>
          <w:szCs w:val="26"/>
        </w:rPr>
        <w:t xml:space="preserve"> tiem</w:t>
      </w:r>
      <w:r w:rsidR="004357F8" w:rsidRPr="00876811">
        <w:rPr>
          <w:sz w:val="26"/>
          <w:szCs w:val="26"/>
        </w:rPr>
        <w:t xml:space="preserve"> iesniedzot priekšlikumus likumprojektiem, kuru autori vai līdzautori ir privātpersonas (tajā skaitā </w:t>
      </w:r>
      <w:r w:rsidR="004357F8" w:rsidRPr="00876811">
        <w:rPr>
          <w:rFonts w:cs="Times New Roman"/>
          <w:sz w:val="26"/>
          <w:szCs w:val="26"/>
        </w:rPr>
        <w:t>formālās un neformālās sabiedrības grupas</w:t>
      </w:r>
      <w:r w:rsidR="004357F8" w:rsidRPr="0038447A">
        <w:rPr>
          <w:rFonts w:cs="Times New Roman"/>
          <w:sz w:val="26"/>
          <w:szCs w:val="26"/>
        </w:rPr>
        <w:t>)</w:t>
      </w:r>
      <w:r w:rsidR="00FD6378">
        <w:rPr>
          <w:sz w:val="26"/>
          <w:szCs w:val="26"/>
        </w:rPr>
        <w:t xml:space="preserve">. </w:t>
      </w:r>
      <w:r w:rsidR="0086650C">
        <w:rPr>
          <w:sz w:val="26"/>
          <w:szCs w:val="26"/>
        </w:rPr>
        <w:t xml:space="preserve">Biroja rosināto priekšlikumu, kas noregulētu minēto situāciju, </w:t>
      </w:r>
      <w:r w:rsidR="004357F8" w:rsidRPr="0038447A">
        <w:rPr>
          <w:sz w:val="26"/>
          <w:szCs w:val="26"/>
        </w:rPr>
        <w:t xml:space="preserve">iestrāde </w:t>
      </w:r>
      <w:r w:rsidR="0086650C">
        <w:rPr>
          <w:sz w:val="26"/>
          <w:szCs w:val="26"/>
        </w:rPr>
        <w:t xml:space="preserve">normatīvajā regulējumā </w:t>
      </w:r>
      <w:r w:rsidR="004357F8" w:rsidRPr="0038447A">
        <w:rPr>
          <w:sz w:val="26"/>
          <w:szCs w:val="26"/>
        </w:rPr>
        <w:t xml:space="preserve">nodrošinātu to Eiropas Padomes Starpvalstu pretkorupcijas grupas (turpmāk – GRECO) IV novērtējuma kārtā Latvijai izteikto rekomendāciju izpildi, kurās </w:t>
      </w:r>
      <w:r w:rsidR="00554D43">
        <w:rPr>
          <w:sz w:val="26"/>
          <w:szCs w:val="26"/>
        </w:rPr>
        <w:t xml:space="preserve">līdz šim </w:t>
      </w:r>
      <w:r w:rsidR="004357F8" w:rsidRPr="0038447A">
        <w:rPr>
          <w:sz w:val="26"/>
          <w:szCs w:val="26"/>
        </w:rPr>
        <w:t>nav panākts progress. Attiecīgi Biroj</w:t>
      </w:r>
      <w:r w:rsidR="0086650C">
        <w:rPr>
          <w:sz w:val="26"/>
          <w:szCs w:val="26"/>
        </w:rPr>
        <w:t>am</w:t>
      </w:r>
      <w:r w:rsidR="004357F8" w:rsidRPr="0038447A">
        <w:rPr>
          <w:sz w:val="26"/>
          <w:szCs w:val="26"/>
        </w:rPr>
        <w:t xml:space="preserve"> </w:t>
      </w:r>
      <w:r w:rsidR="0086650C">
        <w:rPr>
          <w:sz w:val="26"/>
          <w:szCs w:val="26"/>
        </w:rPr>
        <w:t>ir jāturpina</w:t>
      </w:r>
      <w:r w:rsidR="0086650C" w:rsidRPr="0038447A">
        <w:rPr>
          <w:sz w:val="26"/>
          <w:szCs w:val="26"/>
        </w:rPr>
        <w:t xml:space="preserve"> </w:t>
      </w:r>
      <w:r w:rsidR="004357F8" w:rsidRPr="0038447A">
        <w:rPr>
          <w:sz w:val="26"/>
          <w:szCs w:val="26"/>
        </w:rPr>
        <w:t>darb</w:t>
      </w:r>
      <w:r w:rsidR="0086650C">
        <w:rPr>
          <w:sz w:val="26"/>
          <w:szCs w:val="26"/>
        </w:rPr>
        <w:t>s</w:t>
      </w:r>
      <w:r w:rsidR="004357F8" w:rsidRPr="0038447A">
        <w:rPr>
          <w:sz w:val="26"/>
          <w:szCs w:val="26"/>
        </w:rPr>
        <w:t xml:space="preserve"> ar Saeimas deputātiem, aicinot atbalstīt Biroja rosinātos grozījumus Saeimas kārtības rullī.</w:t>
      </w:r>
    </w:p>
    <w:p w14:paraId="42D0F3AA" w14:textId="77777777" w:rsidR="00626DEE" w:rsidRPr="0038447A" w:rsidRDefault="00425CC5" w:rsidP="003F1F02">
      <w:pPr>
        <w:pStyle w:val="NoSpacing"/>
        <w:jc w:val="both"/>
        <w:rPr>
          <w:b w:val="0"/>
          <w:sz w:val="26"/>
          <w:szCs w:val="26"/>
        </w:rPr>
      </w:pPr>
      <w:r w:rsidRPr="0038447A">
        <w:rPr>
          <w:sz w:val="26"/>
          <w:szCs w:val="26"/>
        </w:rPr>
        <w:tab/>
      </w:r>
      <w:r w:rsidR="00626DEE" w:rsidRPr="0038447A">
        <w:rPr>
          <w:b w:val="0"/>
          <w:sz w:val="26"/>
          <w:szCs w:val="26"/>
        </w:rPr>
        <w:t xml:space="preserve">Birojs </w:t>
      </w:r>
      <w:r w:rsidR="00FC58A5" w:rsidRPr="0038447A">
        <w:rPr>
          <w:b w:val="0"/>
          <w:sz w:val="26"/>
          <w:szCs w:val="26"/>
        </w:rPr>
        <w:t xml:space="preserve">šobrīd </w:t>
      </w:r>
      <w:r w:rsidR="00626DEE" w:rsidRPr="0038447A">
        <w:rPr>
          <w:b w:val="0"/>
          <w:sz w:val="26"/>
          <w:szCs w:val="26"/>
        </w:rPr>
        <w:t xml:space="preserve">nodrošina līdzdalību dažādos starptautisko organizāciju pasākumos, kā arī izpilda Eiropas Padomes līguma “Par Pretkorupcijas starpvalstu </w:t>
      </w:r>
      <w:r w:rsidR="00626DEE" w:rsidRPr="0038447A">
        <w:rPr>
          <w:b w:val="0"/>
          <w:sz w:val="26"/>
          <w:szCs w:val="26"/>
        </w:rPr>
        <w:lastRenderedPageBreak/>
        <w:t xml:space="preserve">grupas nodibināšanu” </w:t>
      </w:r>
      <w:r w:rsidR="00E25B22" w:rsidRPr="0038447A">
        <w:rPr>
          <w:b w:val="0"/>
          <w:sz w:val="26"/>
          <w:szCs w:val="26"/>
        </w:rPr>
        <w:t xml:space="preserve">(GRECO) </w:t>
      </w:r>
      <w:r w:rsidR="00626DEE" w:rsidRPr="0038447A">
        <w:rPr>
          <w:b w:val="0"/>
          <w:sz w:val="26"/>
          <w:szCs w:val="26"/>
        </w:rPr>
        <w:t>saistības</w:t>
      </w:r>
      <w:r w:rsidR="00626DEE" w:rsidRPr="0038447A">
        <w:rPr>
          <w:b w:val="0"/>
          <w:sz w:val="26"/>
          <w:szCs w:val="26"/>
          <w:vertAlign w:val="superscript"/>
        </w:rPr>
        <w:footnoteReference w:id="18"/>
      </w:r>
      <w:r w:rsidR="00626DEE" w:rsidRPr="0038447A">
        <w:rPr>
          <w:b w:val="0"/>
          <w:sz w:val="26"/>
          <w:szCs w:val="26"/>
        </w:rPr>
        <w:t xml:space="preserve">, Apvienoto Nāciju Organizācijas (ANO) Pretkorupcijas konvencijas saistības, </w:t>
      </w:r>
      <w:r w:rsidR="00EB6E8B" w:rsidRPr="0038447A">
        <w:rPr>
          <w:b w:val="0"/>
          <w:sz w:val="26"/>
          <w:szCs w:val="26"/>
        </w:rPr>
        <w:t xml:space="preserve">OECD </w:t>
      </w:r>
      <w:r w:rsidR="00626DEE" w:rsidRPr="0038447A">
        <w:rPr>
          <w:b w:val="0"/>
          <w:sz w:val="26"/>
          <w:szCs w:val="26"/>
        </w:rPr>
        <w:t>Konvencijas par ārvalstu amatpersonu kukuļošanas apkarošanu starptautiskajos biznesa darījumos (</w:t>
      </w:r>
      <w:proofErr w:type="spellStart"/>
      <w:r w:rsidR="00626DEE" w:rsidRPr="0038447A">
        <w:rPr>
          <w:b w:val="0"/>
          <w:sz w:val="26"/>
          <w:szCs w:val="26"/>
        </w:rPr>
        <w:t>Pretkukuļošanas</w:t>
      </w:r>
      <w:proofErr w:type="spellEnd"/>
      <w:r w:rsidR="00626DEE" w:rsidRPr="0038447A">
        <w:rPr>
          <w:b w:val="0"/>
          <w:sz w:val="26"/>
          <w:szCs w:val="26"/>
        </w:rPr>
        <w:t xml:space="preserve"> konvencijas) saistības, kā arī aktivitātes, kas saistītas ar Eiropas Savienības finanšu interešu aizsardzības pasākumiem. </w:t>
      </w:r>
      <w:r w:rsidR="00EB5BE1" w:rsidRPr="0038447A">
        <w:rPr>
          <w:b w:val="0"/>
          <w:sz w:val="26"/>
          <w:szCs w:val="26"/>
        </w:rPr>
        <w:t xml:space="preserve">Jānorāda, ka Birojs ir pievienojies arī tādiem neformāliem sadarbības tīkliem kā Eiropas partneri pret korupciju </w:t>
      </w:r>
      <w:r w:rsidR="00EB5BE1" w:rsidRPr="0038447A">
        <w:rPr>
          <w:b w:val="0"/>
          <w:i/>
          <w:sz w:val="26"/>
          <w:szCs w:val="26"/>
        </w:rPr>
        <w:t xml:space="preserve">(EPAC – </w:t>
      </w:r>
      <w:proofErr w:type="spellStart"/>
      <w:r w:rsidR="00EB5BE1" w:rsidRPr="0038447A">
        <w:rPr>
          <w:b w:val="0"/>
          <w:i/>
          <w:sz w:val="26"/>
          <w:szCs w:val="26"/>
        </w:rPr>
        <w:t>European</w:t>
      </w:r>
      <w:proofErr w:type="spellEnd"/>
      <w:r w:rsidR="00EB5BE1" w:rsidRPr="0038447A">
        <w:rPr>
          <w:b w:val="0"/>
          <w:i/>
          <w:sz w:val="26"/>
          <w:szCs w:val="26"/>
        </w:rPr>
        <w:t xml:space="preserve"> </w:t>
      </w:r>
      <w:proofErr w:type="spellStart"/>
      <w:r w:rsidR="00EB5BE1" w:rsidRPr="0038447A">
        <w:rPr>
          <w:b w:val="0"/>
          <w:i/>
          <w:sz w:val="26"/>
          <w:szCs w:val="26"/>
        </w:rPr>
        <w:t>Partners</w:t>
      </w:r>
      <w:proofErr w:type="spellEnd"/>
      <w:r w:rsidR="00EB5BE1" w:rsidRPr="0038447A">
        <w:rPr>
          <w:b w:val="0"/>
          <w:i/>
          <w:sz w:val="26"/>
          <w:szCs w:val="26"/>
        </w:rPr>
        <w:t xml:space="preserve"> </w:t>
      </w:r>
      <w:proofErr w:type="spellStart"/>
      <w:r w:rsidR="00EB5BE1" w:rsidRPr="0038447A">
        <w:rPr>
          <w:b w:val="0"/>
          <w:i/>
          <w:sz w:val="26"/>
          <w:szCs w:val="26"/>
        </w:rPr>
        <w:t>against</w:t>
      </w:r>
      <w:proofErr w:type="spellEnd"/>
      <w:r w:rsidR="00EB5BE1" w:rsidRPr="0038447A">
        <w:rPr>
          <w:b w:val="0"/>
          <w:i/>
          <w:sz w:val="26"/>
          <w:szCs w:val="26"/>
        </w:rPr>
        <w:t xml:space="preserve"> </w:t>
      </w:r>
      <w:proofErr w:type="spellStart"/>
      <w:r w:rsidR="00EB5BE1" w:rsidRPr="0038447A">
        <w:rPr>
          <w:b w:val="0"/>
          <w:i/>
          <w:sz w:val="26"/>
          <w:szCs w:val="26"/>
        </w:rPr>
        <w:t>Corruption</w:t>
      </w:r>
      <w:proofErr w:type="spellEnd"/>
      <w:r w:rsidR="00EB5BE1" w:rsidRPr="0038447A">
        <w:rPr>
          <w:b w:val="0"/>
          <w:i/>
          <w:sz w:val="26"/>
          <w:szCs w:val="26"/>
        </w:rPr>
        <w:t>)</w:t>
      </w:r>
      <w:r w:rsidR="00EB5BE1" w:rsidRPr="0038447A">
        <w:rPr>
          <w:b w:val="0"/>
          <w:sz w:val="26"/>
          <w:szCs w:val="26"/>
        </w:rPr>
        <w:t xml:space="preserve"> un Godprātības tīkls </w:t>
      </w:r>
      <w:r w:rsidR="00EB5BE1" w:rsidRPr="0038447A">
        <w:rPr>
          <w:b w:val="0"/>
          <w:i/>
          <w:sz w:val="26"/>
          <w:szCs w:val="26"/>
        </w:rPr>
        <w:t>(</w:t>
      </w:r>
      <w:proofErr w:type="spellStart"/>
      <w:r w:rsidR="00EB5BE1" w:rsidRPr="0038447A">
        <w:rPr>
          <w:b w:val="0"/>
          <w:i/>
          <w:sz w:val="26"/>
          <w:szCs w:val="26"/>
        </w:rPr>
        <w:t>Network</w:t>
      </w:r>
      <w:proofErr w:type="spellEnd"/>
      <w:r w:rsidR="00EB5BE1" w:rsidRPr="0038447A">
        <w:rPr>
          <w:b w:val="0"/>
          <w:i/>
          <w:sz w:val="26"/>
          <w:szCs w:val="26"/>
        </w:rPr>
        <w:t xml:space="preserve"> </w:t>
      </w:r>
      <w:proofErr w:type="spellStart"/>
      <w:r w:rsidR="00EB5BE1" w:rsidRPr="0038447A">
        <w:rPr>
          <w:b w:val="0"/>
          <w:i/>
          <w:sz w:val="26"/>
          <w:szCs w:val="26"/>
        </w:rPr>
        <w:t>of</w:t>
      </w:r>
      <w:proofErr w:type="spellEnd"/>
      <w:r w:rsidR="00EB5BE1" w:rsidRPr="0038447A">
        <w:rPr>
          <w:b w:val="0"/>
          <w:i/>
          <w:sz w:val="26"/>
          <w:szCs w:val="26"/>
        </w:rPr>
        <w:t xml:space="preserve"> </w:t>
      </w:r>
      <w:proofErr w:type="spellStart"/>
      <w:r w:rsidR="00EB5BE1" w:rsidRPr="0038447A">
        <w:rPr>
          <w:b w:val="0"/>
          <w:i/>
          <w:sz w:val="26"/>
          <w:szCs w:val="26"/>
        </w:rPr>
        <w:t>Intergity</w:t>
      </w:r>
      <w:proofErr w:type="spellEnd"/>
      <w:r w:rsidR="00EB5BE1" w:rsidRPr="0038447A">
        <w:rPr>
          <w:b w:val="0"/>
          <w:i/>
          <w:sz w:val="26"/>
          <w:szCs w:val="26"/>
        </w:rPr>
        <w:t>)</w:t>
      </w:r>
      <w:r w:rsidR="00EB5BE1" w:rsidRPr="0038447A">
        <w:rPr>
          <w:b w:val="0"/>
          <w:sz w:val="26"/>
          <w:szCs w:val="26"/>
        </w:rPr>
        <w:t>, tomēr ierobežotās kapacitātes dēļ nebūtu vēlama pievienošanās jauniem sadarbības formātiem, lai pilnvērtīgāk varētu izmantot visas tās iespējas, ko šobrīd piedāvā jau esošie formāti, kas ir pietiekami plaši starptautiskās sadarbības veicināšanai.</w:t>
      </w:r>
    </w:p>
    <w:p w14:paraId="42D0F3AB" w14:textId="77777777" w:rsidR="00626DEE" w:rsidRPr="0038447A" w:rsidRDefault="00626DEE" w:rsidP="00B623F4">
      <w:pPr>
        <w:rPr>
          <w:sz w:val="26"/>
          <w:szCs w:val="26"/>
        </w:rPr>
      </w:pPr>
      <w:r w:rsidRPr="0038447A">
        <w:rPr>
          <w:sz w:val="26"/>
          <w:szCs w:val="26"/>
        </w:rPr>
        <w:t xml:space="preserve">Nākamajos gados vēl jāveic virkne uzdevumu, lai panāktu pilnu atbilstību OECD Pretkorupcijas konvencijas prasībām. </w:t>
      </w:r>
      <w:proofErr w:type="spellStart"/>
      <w:r w:rsidRPr="0038447A">
        <w:rPr>
          <w:sz w:val="26"/>
          <w:szCs w:val="26"/>
        </w:rPr>
        <w:t>Pretkukuļošanas</w:t>
      </w:r>
      <w:proofErr w:type="spellEnd"/>
      <w:r w:rsidRPr="0038447A">
        <w:rPr>
          <w:sz w:val="26"/>
          <w:szCs w:val="26"/>
        </w:rPr>
        <w:t xml:space="preserve"> darba grupas plenārsēdes laikā </w:t>
      </w:r>
      <w:r w:rsidR="00E25B22" w:rsidRPr="0038447A">
        <w:rPr>
          <w:sz w:val="26"/>
          <w:szCs w:val="26"/>
        </w:rPr>
        <w:t>201</w:t>
      </w:r>
      <w:r w:rsidR="00EB5BE1" w:rsidRPr="0038447A">
        <w:rPr>
          <w:sz w:val="26"/>
          <w:szCs w:val="26"/>
        </w:rPr>
        <w:t>8</w:t>
      </w:r>
      <w:r w:rsidR="00E25B22" w:rsidRPr="0038447A">
        <w:rPr>
          <w:sz w:val="26"/>
          <w:szCs w:val="26"/>
        </w:rPr>
        <w:t xml:space="preserve">.gada oktobrī </w:t>
      </w:r>
      <w:r w:rsidRPr="0038447A">
        <w:rPr>
          <w:sz w:val="26"/>
          <w:szCs w:val="26"/>
        </w:rPr>
        <w:t>Latvijai būs jāsniedz ziņojums par 44</w:t>
      </w:r>
      <w:r w:rsidR="00EB5BE1" w:rsidRPr="0038447A">
        <w:rPr>
          <w:sz w:val="26"/>
          <w:szCs w:val="26"/>
        </w:rPr>
        <w:t xml:space="preserve"> atsevišķu</w:t>
      </w:r>
      <w:r w:rsidRPr="0038447A">
        <w:rPr>
          <w:sz w:val="26"/>
          <w:szCs w:val="26"/>
        </w:rPr>
        <w:t xml:space="preserve"> izteikto Otrās fāzes rekomendāciju izpildi. Pēc veiksmīgas</w:t>
      </w:r>
      <w:r w:rsidR="00B623F4" w:rsidRPr="0038447A">
        <w:rPr>
          <w:sz w:val="26"/>
          <w:szCs w:val="26"/>
        </w:rPr>
        <w:t xml:space="preserve"> visu</w:t>
      </w:r>
      <w:r w:rsidRPr="0038447A">
        <w:rPr>
          <w:sz w:val="26"/>
          <w:szCs w:val="26"/>
        </w:rPr>
        <w:t xml:space="preserve"> Otrās fāzes rekomendāciju izpildes sekos arī Trešā un Ceturtā novērtēšanas fāze. </w:t>
      </w:r>
    </w:p>
    <w:p w14:paraId="42D0F3AC" w14:textId="77777777" w:rsidR="00626DEE" w:rsidRPr="0038447A" w:rsidRDefault="00626DEE" w:rsidP="00B623F4">
      <w:pPr>
        <w:rPr>
          <w:sz w:val="26"/>
          <w:szCs w:val="26"/>
        </w:rPr>
      </w:pPr>
      <w:r w:rsidRPr="0038447A">
        <w:rPr>
          <w:sz w:val="26"/>
          <w:szCs w:val="26"/>
        </w:rPr>
        <w:t>Jāņem vērā tas, ka Latvijai šobrīd jau kā OECD dalībvalstij ir jāsniedz savs atbalsts un pieredze arī citu reģionu valstīm, kurām tā varētu būt saistoša, tai skaitā piedaloties dažādos starptautiskos sadarbības formātos, piemēram, OECD Austrumeiropas un Centrālāzijas Pretkorupcijas tīklā (ACN). Līdz šim Birojs veiksmīgi ir pildījis savas kā OECD ACN tīkla dalībvalsts pienākumus, Biroja ekspertiem regulāri piedaloties dažādās OECD ACN Stambulas Pretkorupcijas darbības plāna</w:t>
      </w:r>
      <w:r w:rsidRPr="0038447A">
        <w:rPr>
          <w:sz w:val="26"/>
          <w:szCs w:val="26"/>
          <w:vertAlign w:val="superscript"/>
        </w:rPr>
        <w:footnoteReference w:id="19"/>
      </w:r>
      <w:r w:rsidRPr="0038447A">
        <w:rPr>
          <w:sz w:val="26"/>
          <w:szCs w:val="26"/>
        </w:rPr>
        <w:t xml:space="preserve"> aktivitātēs, tai skaitā Austrumeiropas un Centrālāzijas valstu novērtējumos. Šobrīd būtu nepieciešams izvērtēt iespējas sniegt papildu atbalstu ACN darbībai. </w:t>
      </w:r>
    </w:p>
    <w:p w14:paraId="42D0F3AD" w14:textId="77777777" w:rsidR="00B623F4" w:rsidRPr="0038447A" w:rsidRDefault="00B623F4" w:rsidP="00B623F4">
      <w:pPr>
        <w:ind w:firstLine="709"/>
        <w:rPr>
          <w:sz w:val="26"/>
          <w:szCs w:val="26"/>
        </w:rPr>
      </w:pPr>
      <w:r w:rsidRPr="0038447A">
        <w:rPr>
          <w:sz w:val="26"/>
          <w:szCs w:val="26"/>
        </w:rPr>
        <w:t>GRECO ietvaros 201</w:t>
      </w:r>
      <w:r w:rsidR="00D623CB" w:rsidRPr="0038447A">
        <w:rPr>
          <w:sz w:val="26"/>
          <w:szCs w:val="26"/>
        </w:rPr>
        <w:t>7</w:t>
      </w:r>
      <w:r w:rsidRPr="0038447A">
        <w:rPr>
          <w:sz w:val="26"/>
          <w:szCs w:val="26"/>
        </w:rPr>
        <w:t xml:space="preserve">.gada nogalē uzsākta Latvijas V novērtēšanas kārta, kuras laikā vērtēta korupcijas novēršana un godprātības veicināšana attiecībā uz izpildvaras augstākajām amatpersonām un tiesībsargājošajām iestādēm. Attiecīgi nākamajos gados izteikto rekomendāciju izpilde būs viena no prioritārajām jomām starptautiskās sadarbības ietvaros. </w:t>
      </w:r>
      <w:r w:rsidR="003F598E">
        <w:rPr>
          <w:sz w:val="26"/>
          <w:szCs w:val="26"/>
        </w:rPr>
        <w:t>Tāpat</w:t>
      </w:r>
      <w:r w:rsidRPr="0038447A">
        <w:rPr>
          <w:sz w:val="26"/>
          <w:szCs w:val="26"/>
        </w:rPr>
        <w:t xml:space="preserve"> jāturpina arī darbs pie to rekomendāciju izpildes, kas tika izteiktas IV kārtas ietvaros attiecībā uz korupcijas novēršanu parlamentā un tiesu varā. </w:t>
      </w:r>
    </w:p>
    <w:p w14:paraId="42D0F3AE" w14:textId="77777777" w:rsidR="00C04E03" w:rsidRPr="0038447A" w:rsidRDefault="00B623F4" w:rsidP="00B623F4">
      <w:pPr>
        <w:ind w:firstLine="709"/>
        <w:rPr>
          <w:sz w:val="26"/>
          <w:szCs w:val="26"/>
        </w:rPr>
      </w:pPr>
      <w:r w:rsidRPr="0038447A">
        <w:rPr>
          <w:sz w:val="26"/>
          <w:szCs w:val="26"/>
        </w:rPr>
        <w:t>Apvienoto Nāciju Organizācijas (ANO) Pretkorupcijas konvencijas ieviešanas un novērtēšanas mehānisma ietvaros 2018.gadā paredzēts uzsākt Latvijas novērtēšan</w:t>
      </w:r>
      <w:r w:rsidR="00FB3D04">
        <w:rPr>
          <w:sz w:val="26"/>
          <w:szCs w:val="26"/>
        </w:rPr>
        <w:t>u</w:t>
      </w:r>
      <w:r w:rsidRPr="0038447A">
        <w:rPr>
          <w:sz w:val="26"/>
          <w:szCs w:val="26"/>
        </w:rPr>
        <w:t xml:space="preserve"> Otrajā novērtēšanas ciklā, kur</w:t>
      </w:r>
      <w:r w:rsidR="00FB3D04">
        <w:rPr>
          <w:sz w:val="26"/>
          <w:szCs w:val="26"/>
        </w:rPr>
        <w:t>ā</w:t>
      </w:r>
      <w:r w:rsidRPr="0038447A">
        <w:rPr>
          <w:sz w:val="26"/>
          <w:szCs w:val="26"/>
        </w:rPr>
        <w:t xml:space="preserve"> tiek vērtēta dalībvalstu atbilstība Konvencijas prasībām attiecībā uz II nodaļu “Preventīvie pasākumi” u</w:t>
      </w:r>
      <w:r w:rsidR="00FD6378">
        <w:rPr>
          <w:sz w:val="26"/>
          <w:szCs w:val="26"/>
        </w:rPr>
        <w:t>n V nodaļu “Līdzekļu atgūšana”.</w:t>
      </w:r>
      <w:r w:rsidRPr="0038447A">
        <w:rPr>
          <w:sz w:val="26"/>
          <w:szCs w:val="26"/>
        </w:rPr>
        <w:t xml:space="preserve"> Papildus jānorāda, ka Latvija ir noteikta par novērtētāju Azerbaidžānai, kuras novērtēšanas procesu plānots īstenot 2018.gadā.</w:t>
      </w:r>
    </w:p>
    <w:p w14:paraId="42D0F3AF" w14:textId="77777777" w:rsidR="00B623F4" w:rsidRPr="0038447A" w:rsidRDefault="00B623F4" w:rsidP="00B623F4">
      <w:pPr>
        <w:pStyle w:val="NoSpacing"/>
        <w:jc w:val="both"/>
        <w:rPr>
          <w:b w:val="0"/>
          <w:sz w:val="26"/>
          <w:szCs w:val="26"/>
        </w:rPr>
      </w:pPr>
      <w:r w:rsidRPr="0038447A">
        <w:rPr>
          <w:b w:val="0"/>
          <w:sz w:val="26"/>
          <w:szCs w:val="26"/>
        </w:rPr>
        <w:tab/>
        <w:t xml:space="preserve">Birojs aktīvi iesaistās divpusējo starptautisko attiecību veidošanā. </w:t>
      </w:r>
      <w:r w:rsidR="00876811">
        <w:rPr>
          <w:b w:val="0"/>
          <w:sz w:val="26"/>
          <w:szCs w:val="26"/>
        </w:rPr>
        <w:t>Ārvalstu partneriem ir interese par</w:t>
      </w:r>
      <w:r w:rsidR="00876811" w:rsidRPr="0038447A">
        <w:rPr>
          <w:b w:val="0"/>
          <w:sz w:val="26"/>
          <w:szCs w:val="26"/>
        </w:rPr>
        <w:t xml:space="preserve"> </w:t>
      </w:r>
      <w:r w:rsidR="00876811">
        <w:rPr>
          <w:b w:val="0"/>
          <w:sz w:val="26"/>
          <w:szCs w:val="26"/>
        </w:rPr>
        <w:t>Biroja pieredzi</w:t>
      </w:r>
      <w:r w:rsidRPr="0038447A">
        <w:rPr>
          <w:b w:val="0"/>
          <w:sz w:val="26"/>
          <w:szCs w:val="26"/>
        </w:rPr>
        <w:t xml:space="preserve"> korupcijas novēršanas un apkarošanas jomā, kā arī politisko partiju finansēšanas kontrol</w:t>
      </w:r>
      <w:r w:rsidR="00876811">
        <w:rPr>
          <w:b w:val="0"/>
          <w:sz w:val="26"/>
          <w:szCs w:val="26"/>
        </w:rPr>
        <w:t>i</w:t>
      </w:r>
      <w:r w:rsidR="006F6F1A">
        <w:rPr>
          <w:b w:val="0"/>
          <w:sz w:val="26"/>
          <w:szCs w:val="26"/>
        </w:rPr>
        <w:t>.</w:t>
      </w:r>
      <w:r w:rsidRPr="0038447A">
        <w:rPr>
          <w:b w:val="0"/>
          <w:sz w:val="26"/>
          <w:szCs w:val="26"/>
        </w:rPr>
        <w:t xml:space="preserve"> Arī nākotnē plānots aktīvi iesaistīties gan pieredzes nodošanā, gan arī apmaiņā ar citu valstu </w:t>
      </w:r>
      <w:proofErr w:type="spellStart"/>
      <w:r w:rsidRPr="0038447A">
        <w:rPr>
          <w:b w:val="0"/>
          <w:sz w:val="26"/>
          <w:szCs w:val="26"/>
        </w:rPr>
        <w:t>partnerd</w:t>
      </w:r>
      <w:r w:rsidR="00FD6378">
        <w:rPr>
          <w:b w:val="0"/>
          <w:sz w:val="26"/>
          <w:szCs w:val="26"/>
        </w:rPr>
        <w:t>ienestiem</w:t>
      </w:r>
      <w:proofErr w:type="spellEnd"/>
      <w:r w:rsidR="00FD6378">
        <w:rPr>
          <w:b w:val="0"/>
          <w:sz w:val="26"/>
          <w:szCs w:val="26"/>
        </w:rPr>
        <w:t xml:space="preserve">. Īpaša uzmanība tiks </w:t>
      </w:r>
      <w:r w:rsidRPr="0038447A">
        <w:rPr>
          <w:b w:val="0"/>
          <w:sz w:val="26"/>
          <w:szCs w:val="26"/>
        </w:rPr>
        <w:t>veltīta sadarbībai ar reģionālajiem partneriem, proti – Lietuvu, Igauniju un Poliju.</w:t>
      </w:r>
    </w:p>
    <w:p w14:paraId="42D0F3B0" w14:textId="77777777" w:rsidR="00B623F4" w:rsidRPr="0038447A" w:rsidRDefault="00B623F4" w:rsidP="00B623F4">
      <w:pPr>
        <w:pStyle w:val="NoSpacing"/>
        <w:jc w:val="both"/>
        <w:rPr>
          <w:b w:val="0"/>
          <w:sz w:val="26"/>
          <w:szCs w:val="26"/>
        </w:rPr>
      </w:pPr>
      <w:r w:rsidRPr="0038447A">
        <w:rPr>
          <w:b w:val="0"/>
          <w:sz w:val="26"/>
          <w:szCs w:val="26"/>
        </w:rPr>
        <w:tab/>
      </w:r>
    </w:p>
    <w:p w14:paraId="42D0F3B1" w14:textId="77777777" w:rsidR="000022A6" w:rsidRDefault="000022A6" w:rsidP="003C0146">
      <w:pPr>
        <w:spacing w:after="200" w:line="276" w:lineRule="auto"/>
        <w:ind w:firstLine="0"/>
        <w:jc w:val="left"/>
        <w:rPr>
          <w:b/>
          <w:sz w:val="26"/>
          <w:szCs w:val="26"/>
          <w:u w:val="single"/>
        </w:rPr>
      </w:pPr>
    </w:p>
    <w:p w14:paraId="42D0F3B2" w14:textId="77777777" w:rsidR="003C0146" w:rsidRPr="0038447A" w:rsidRDefault="003C0146" w:rsidP="003C0146">
      <w:pPr>
        <w:spacing w:after="200" w:line="276" w:lineRule="auto"/>
        <w:ind w:firstLine="0"/>
        <w:jc w:val="left"/>
        <w:rPr>
          <w:b/>
          <w:sz w:val="26"/>
          <w:szCs w:val="26"/>
          <w:u w:val="single"/>
        </w:rPr>
      </w:pPr>
      <w:r w:rsidRPr="0038447A">
        <w:rPr>
          <w:b/>
          <w:sz w:val="26"/>
          <w:szCs w:val="26"/>
          <w:u w:val="single"/>
        </w:rPr>
        <w:lastRenderedPageBreak/>
        <w:t xml:space="preserve">Darbības virziena mērķis: </w:t>
      </w:r>
    </w:p>
    <w:p w14:paraId="42D0F3B3" w14:textId="77777777" w:rsidR="00036D59" w:rsidRPr="0038447A" w:rsidRDefault="00036D59" w:rsidP="00036D59">
      <w:pPr>
        <w:rPr>
          <w:sz w:val="26"/>
          <w:szCs w:val="26"/>
        </w:rPr>
      </w:pPr>
      <w:r w:rsidRPr="0038447A">
        <w:rPr>
          <w:sz w:val="26"/>
          <w:szCs w:val="26"/>
        </w:rPr>
        <w:t>Izstrādāt un koordinēt</w:t>
      </w:r>
      <w:r w:rsidR="001C107E" w:rsidRPr="0038447A">
        <w:rPr>
          <w:sz w:val="26"/>
          <w:szCs w:val="26"/>
        </w:rPr>
        <w:t xml:space="preserve"> tādas pretkorupcijas politikas ieviešanu, kas preventīvi novērstu</w:t>
      </w:r>
      <w:r w:rsidRPr="0038447A">
        <w:rPr>
          <w:sz w:val="26"/>
          <w:szCs w:val="26"/>
        </w:rPr>
        <w:t xml:space="preserve"> valsts pārvaldē nodarbin</w:t>
      </w:r>
      <w:r w:rsidR="00B623F4" w:rsidRPr="0038447A">
        <w:rPr>
          <w:sz w:val="26"/>
          <w:szCs w:val="26"/>
        </w:rPr>
        <w:t>āto personu prettiesisku rīcību, tai skaitā izpildot starptautiskās saistības.</w:t>
      </w:r>
    </w:p>
    <w:p w14:paraId="42D0F3B4" w14:textId="77777777" w:rsidR="00036D59" w:rsidRPr="0038447A" w:rsidRDefault="00036D59" w:rsidP="00036D59">
      <w:pPr>
        <w:pStyle w:val="NoSpacing"/>
        <w:rPr>
          <w:sz w:val="26"/>
          <w:szCs w:val="26"/>
        </w:rPr>
      </w:pPr>
    </w:p>
    <w:p w14:paraId="42D0F3B5" w14:textId="77777777" w:rsidR="003C0146" w:rsidRPr="0038447A" w:rsidRDefault="003C0146" w:rsidP="003C0146">
      <w:pPr>
        <w:spacing w:after="200" w:line="276" w:lineRule="auto"/>
        <w:ind w:firstLine="0"/>
        <w:jc w:val="left"/>
        <w:rPr>
          <w:b/>
          <w:sz w:val="26"/>
          <w:szCs w:val="26"/>
          <w:u w:val="single"/>
        </w:rPr>
      </w:pPr>
      <w:r w:rsidRPr="0038447A">
        <w:rPr>
          <w:b/>
          <w:sz w:val="26"/>
          <w:szCs w:val="26"/>
          <w:u w:val="single"/>
        </w:rPr>
        <w:t>Politikas rezultāti:</w:t>
      </w:r>
    </w:p>
    <w:p w14:paraId="42D0F3B6" w14:textId="77777777" w:rsidR="00887805" w:rsidRPr="0038447A" w:rsidRDefault="00887805" w:rsidP="00A556D9">
      <w:pPr>
        <w:pStyle w:val="NoSpacing"/>
        <w:tabs>
          <w:tab w:val="left" w:pos="375"/>
        </w:tabs>
        <w:jc w:val="right"/>
        <w:rPr>
          <w:b w:val="0"/>
          <w:i/>
          <w:sz w:val="26"/>
          <w:szCs w:val="26"/>
        </w:rPr>
      </w:pPr>
      <w:r w:rsidRPr="0038447A">
        <w:rPr>
          <w:sz w:val="26"/>
          <w:szCs w:val="26"/>
        </w:rPr>
        <w:tab/>
      </w:r>
      <w:r w:rsidR="000A003F">
        <w:rPr>
          <w:b w:val="0"/>
          <w:i/>
          <w:sz w:val="26"/>
          <w:szCs w:val="26"/>
        </w:rPr>
        <w:t>6</w:t>
      </w:r>
      <w:r w:rsidR="00A556D9" w:rsidRPr="0038447A">
        <w:rPr>
          <w:b w:val="0"/>
          <w:i/>
          <w:sz w:val="26"/>
          <w:szCs w:val="26"/>
        </w:rPr>
        <w:t>.tabula</w:t>
      </w:r>
    </w:p>
    <w:tbl>
      <w:tblPr>
        <w:tblW w:w="960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384"/>
        <w:gridCol w:w="2552"/>
        <w:gridCol w:w="1134"/>
        <w:gridCol w:w="1134"/>
        <w:gridCol w:w="1134"/>
        <w:gridCol w:w="1134"/>
        <w:gridCol w:w="1134"/>
      </w:tblGrid>
      <w:tr w:rsidR="00887805" w:rsidRPr="00E07B83" w14:paraId="42D0F3B8" w14:textId="77777777" w:rsidTr="007E68E1">
        <w:trPr>
          <w:trHeight w:val="339"/>
        </w:trPr>
        <w:tc>
          <w:tcPr>
            <w:tcW w:w="9606" w:type="dxa"/>
            <w:gridSpan w:val="7"/>
            <w:shd w:val="clear" w:color="auto" w:fill="auto"/>
          </w:tcPr>
          <w:p w14:paraId="42D0F3B7" w14:textId="77777777" w:rsidR="00887805" w:rsidRPr="00E07B83" w:rsidRDefault="00BF76C9" w:rsidP="008D6A22">
            <w:pPr>
              <w:ind w:firstLine="0"/>
              <w:jc w:val="left"/>
              <w:rPr>
                <w:rFonts w:eastAsia="Calibri" w:cs="Times New Roman"/>
                <w:sz w:val="22"/>
                <w:vertAlign w:val="superscript"/>
              </w:rPr>
            </w:pPr>
            <w:r w:rsidRPr="00E07B83">
              <w:rPr>
                <w:rFonts w:eastAsia="Calibri" w:cs="Times New Roman"/>
                <w:sz w:val="22"/>
              </w:rPr>
              <w:t>5.</w:t>
            </w:r>
            <w:r w:rsidR="00887805" w:rsidRPr="00E07B83">
              <w:rPr>
                <w:rFonts w:eastAsia="Calibri" w:cs="Times New Roman"/>
                <w:sz w:val="22"/>
              </w:rPr>
              <w:t xml:space="preserve"> Politikas rezultāti</w:t>
            </w:r>
          </w:p>
        </w:tc>
      </w:tr>
      <w:tr w:rsidR="00887805" w:rsidRPr="00E07B83" w14:paraId="42D0F3BC" w14:textId="77777777" w:rsidTr="007E68E1">
        <w:trPr>
          <w:trHeight w:val="96"/>
        </w:trPr>
        <w:tc>
          <w:tcPr>
            <w:tcW w:w="1384" w:type="dxa"/>
            <w:vMerge w:val="restart"/>
            <w:shd w:val="clear" w:color="auto" w:fill="auto"/>
          </w:tcPr>
          <w:p w14:paraId="42D0F3B9" w14:textId="77777777" w:rsidR="00887805" w:rsidRPr="00E07B83" w:rsidRDefault="00BF76C9" w:rsidP="008D6A22">
            <w:pPr>
              <w:ind w:firstLine="0"/>
              <w:jc w:val="left"/>
              <w:rPr>
                <w:rFonts w:eastAsia="Calibri" w:cs="Times New Roman"/>
                <w:sz w:val="22"/>
              </w:rPr>
            </w:pPr>
            <w:r w:rsidRPr="00E07B83">
              <w:rPr>
                <w:rFonts w:eastAsia="Calibri" w:cs="Times New Roman"/>
                <w:sz w:val="22"/>
              </w:rPr>
              <w:t>5.1.</w:t>
            </w:r>
            <w:r w:rsidR="00887805" w:rsidRPr="00E07B83">
              <w:rPr>
                <w:rFonts w:eastAsia="Calibri" w:cs="Times New Roman"/>
                <w:sz w:val="22"/>
              </w:rPr>
              <w:t xml:space="preserve">Rezultāts </w:t>
            </w:r>
          </w:p>
        </w:tc>
        <w:tc>
          <w:tcPr>
            <w:tcW w:w="2552" w:type="dxa"/>
            <w:vMerge w:val="restart"/>
            <w:shd w:val="clear" w:color="auto" w:fill="auto"/>
          </w:tcPr>
          <w:p w14:paraId="42D0F3BA" w14:textId="77777777" w:rsidR="00887805" w:rsidRPr="00E07B83" w:rsidRDefault="00BF76C9" w:rsidP="00E07B83">
            <w:pPr>
              <w:ind w:right="33" w:firstLine="0"/>
              <w:jc w:val="left"/>
              <w:rPr>
                <w:rFonts w:eastAsia="Calibri" w:cs="Times New Roman"/>
                <w:sz w:val="22"/>
                <w:vertAlign w:val="superscript"/>
              </w:rPr>
            </w:pPr>
            <w:r w:rsidRPr="00E07B83">
              <w:rPr>
                <w:rFonts w:eastAsia="Calibri" w:cs="Times New Roman"/>
                <w:sz w:val="22"/>
              </w:rPr>
              <w:t>5.2.</w:t>
            </w:r>
            <w:r w:rsidR="00887805" w:rsidRPr="00E07B83">
              <w:rPr>
                <w:rFonts w:eastAsia="Calibri" w:cs="Times New Roman"/>
                <w:sz w:val="22"/>
              </w:rPr>
              <w:t>Rezultatīvais rādītājs</w:t>
            </w:r>
          </w:p>
        </w:tc>
        <w:tc>
          <w:tcPr>
            <w:tcW w:w="5670" w:type="dxa"/>
            <w:gridSpan w:val="5"/>
            <w:shd w:val="clear" w:color="auto" w:fill="auto"/>
          </w:tcPr>
          <w:p w14:paraId="42D0F3BB" w14:textId="77777777" w:rsidR="00887805" w:rsidRPr="00E07B83" w:rsidRDefault="00BF76C9" w:rsidP="008D6A22">
            <w:pPr>
              <w:ind w:firstLine="0"/>
              <w:jc w:val="left"/>
              <w:rPr>
                <w:rFonts w:eastAsia="Calibri" w:cs="Times New Roman"/>
                <w:sz w:val="22"/>
              </w:rPr>
            </w:pPr>
            <w:r w:rsidRPr="00E07B83">
              <w:rPr>
                <w:rFonts w:eastAsia="Calibri" w:cs="Times New Roman"/>
                <w:sz w:val="22"/>
              </w:rPr>
              <w:t>5.3.</w:t>
            </w:r>
            <w:r w:rsidR="00887805" w:rsidRPr="00E07B83">
              <w:rPr>
                <w:rFonts w:eastAsia="Calibri" w:cs="Times New Roman"/>
                <w:sz w:val="22"/>
              </w:rPr>
              <w:t>Rezultatīvā rādītāja skaitliskās vērtības</w:t>
            </w:r>
          </w:p>
        </w:tc>
      </w:tr>
      <w:tr w:rsidR="00FC2CCC" w:rsidRPr="00E07B83" w14:paraId="42D0F3C4" w14:textId="77777777" w:rsidTr="007E68E1">
        <w:trPr>
          <w:trHeight w:val="270"/>
        </w:trPr>
        <w:tc>
          <w:tcPr>
            <w:tcW w:w="1384" w:type="dxa"/>
            <w:vMerge/>
            <w:shd w:val="clear" w:color="auto" w:fill="auto"/>
          </w:tcPr>
          <w:p w14:paraId="42D0F3BD" w14:textId="77777777" w:rsidR="00887805" w:rsidRPr="00E07B83" w:rsidRDefault="00887805" w:rsidP="008D6A22">
            <w:pPr>
              <w:ind w:firstLine="0"/>
              <w:jc w:val="left"/>
              <w:rPr>
                <w:rFonts w:eastAsia="Calibri" w:cs="Times New Roman"/>
                <w:sz w:val="22"/>
              </w:rPr>
            </w:pPr>
          </w:p>
        </w:tc>
        <w:tc>
          <w:tcPr>
            <w:tcW w:w="2552" w:type="dxa"/>
            <w:vMerge/>
            <w:shd w:val="clear" w:color="auto" w:fill="auto"/>
          </w:tcPr>
          <w:p w14:paraId="42D0F3BE" w14:textId="77777777" w:rsidR="00887805" w:rsidRPr="00E07B83" w:rsidRDefault="00887805" w:rsidP="00E07B83">
            <w:pPr>
              <w:ind w:right="33" w:firstLine="0"/>
              <w:jc w:val="left"/>
              <w:rPr>
                <w:rFonts w:eastAsia="Calibri" w:cs="Times New Roman"/>
                <w:sz w:val="22"/>
              </w:rPr>
            </w:pPr>
          </w:p>
        </w:tc>
        <w:tc>
          <w:tcPr>
            <w:tcW w:w="1134" w:type="dxa"/>
            <w:shd w:val="clear" w:color="auto" w:fill="auto"/>
          </w:tcPr>
          <w:p w14:paraId="42D0F3BF" w14:textId="77777777" w:rsidR="00887805" w:rsidRPr="00E07B83" w:rsidRDefault="00B771D2" w:rsidP="008D6A22">
            <w:pPr>
              <w:ind w:firstLine="0"/>
              <w:jc w:val="center"/>
              <w:rPr>
                <w:rFonts w:eastAsia="Calibri" w:cs="Times New Roman"/>
                <w:sz w:val="22"/>
              </w:rPr>
            </w:pPr>
            <w:r w:rsidRPr="00E07B83">
              <w:rPr>
                <w:rFonts w:eastAsia="Calibri" w:cs="Times New Roman"/>
                <w:sz w:val="22"/>
              </w:rPr>
              <w:t>2015.gada izpilde</w:t>
            </w:r>
          </w:p>
        </w:tc>
        <w:tc>
          <w:tcPr>
            <w:tcW w:w="1134" w:type="dxa"/>
            <w:shd w:val="clear" w:color="auto" w:fill="auto"/>
          </w:tcPr>
          <w:p w14:paraId="42D0F3C0" w14:textId="77777777" w:rsidR="00887805" w:rsidRPr="00E07B83" w:rsidRDefault="004E1F83" w:rsidP="008D6A22">
            <w:pPr>
              <w:ind w:firstLine="0"/>
              <w:jc w:val="center"/>
              <w:rPr>
                <w:rFonts w:eastAsia="Calibri" w:cs="Times New Roman"/>
                <w:sz w:val="22"/>
              </w:rPr>
            </w:pPr>
            <w:r w:rsidRPr="00E07B83">
              <w:rPr>
                <w:rFonts w:eastAsia="Calibri" w:cs="Times New Roman"/>
                <w:sz w:val="22"/>
              </w:rPr>
              <w:t>2016.gada izpilde</w:t>
            </w:r>
          </w:p>
        </w:tc>
        <w:tc>
          <w:tcPr>
            <w:tcW w:w="1134" w:type="dxa"/>
            <w:shd w:val="clear" w:color="auto" w:fill="auto"/>
          </w:tcPr>
          <w:p w14:paraId="42D0F3C1" w14:textId="77777777" w:rsidR="00887805" w:rsidRPr="00E07B83" w:rsidRDefault="00B771D2" w:rsidP="000A003F">
            <w:pPr>
              <w:ind w:firstLine="0"/>
              <w:jc w:val="center"/>
              <w:rPr>
                <w:rFonts w:eastAsia="Calibri" w:cs="Times New Roman"/>
                <w:sz w:val="22"/>
              </w:rPr>
            </w:pPr>
            <w:r w:rsidRPr="00E07B83">
              <w:rPr>
                <w:rFonts w:eastAsia="Calibri" w:cs="Times New Roman"/>
                <w:sz w:val="22"/>
              </w:rPr>
              <w:t>2017.gada p</w:t>
            </w:r>
            <w:r w:rsidR="000A003F">
              <w:rPr>
                <w:rFonts w:eastAsia="Calibri" w:cs="Times New Roman"/>
                <w:sz w:val="22"/>
              </w:rPr>
              <w:t>lāns</w:t>
            </w:r>
          </w:p>
        </w:tc>
        <w:tc>
          <w:tcPr>
            <w:tcW w:w="1134" w:type="dxa"/>
            <w:shd w:val="clear" w:color="auto" w:fill="auto"/>
          </w:tcPr>
          <w:p w14:paraId="42D0F3C2" w14:textId="77777777" w:rsidR="00887805" w:rsidRPr="00E07B83" w:rsidRDefault="00B771D2" w:rsidP="000A003F">
            <w:pPr>
              <w:ind w:firstLine="0"/>
              <w:jc w:val="center"/>
              <w:rPr>
                <w:rFonts w:eastAsia="Calibri" w:cs="Times New Roman"/>
                <w:sz w:val="22"/>
              </w:rPr>
            </w:pPr>
            <w:r w:rsidRPr="00E07B83">
              <w:rPr>
                <w:rFonts w:eastAsia="Calibri" w:cs="Times New Roman"/>
                <w:sz w:val="22"/>
              </w:rPr>
              <w:t>2018.gada p</w:t>
            </w:r>
            <w:r w:rsidR="000A003F">
              <w:rPr>
                <w:rFonts w:eastAsia="Calibri" w:cs="Times New Roman"/>
                <w:sz w:val="22"/>
              </w:rPr>
              <w:t>lāns</w:t>
            </w:r>
          </w:p>
        </w:tc>
        <w:tc>
          <w:tcPr>
            <w:tcW w:w="1134" w:type="dxa"/>
            <w:shd w:val="clear" w:color="auto" w:fill="auto"/>
          </w:tcPr>
          <w:p w14:paraId="42D0F3C3" w14:textId="77777777" w:rsidR="00887805" w:rsidRPr="00E07B83" w:rsidRDefault="00B771D2" w:rsidP="000A003F">
            <w:pPr>
              <w:ind w:firstLine="0"/>
              <w:jc w:val="center"/>
              <w:rPr>
                <w:rFonts w:eastAsia="Calibri" w:cs="Times New Roman"/>
                <w:sz w:val="22"/>
              </w:rPr>
            </w:pPr>
            <w:r w:rsidRPr="00E07B83">
              <w:rPr>
                <w:rFonts w:eastAsia="Calibri" w:cs="Times New Roman"/>
                <w:sz w:val="22"/>
              </w:rPr>
              <w:t>2019.gada p</w:t>
            </w:r>
            <w:r w:rsidR="000A003F">
              <w:rPr>
                <w:rFonts w:eastAsia="Calibri" w:cs="Times New Roman"/>
                <w:sz w:val="22"/>
              </w:rPr>
              <w:t>lāns</w:t>
            </w:r>
          </w:p>
        </w:tc>
      </w:tr>
      <w:tr w:rsidR="00FC2CCC" w:rsidRPr="00E07B83" w14:paraId="42D0F3CD" w14:textId="77777777" w:rsidTr="007E68E1">
        <w:trPr>
          <w:trHeight w:val="96"/>
        </w:trPr>
        <w:tc>
          <w:tcPr>
            <w:tcW w:w="1384" w:type="dxa"/>
            <w:tcBorders>
              <w:bottom w:val="single" w:sz="4" w:space="0" w:color="auto"/>
            </w:tcBorders>
            <w:shd w:val="clear" w:color="auto" w:fill="auto"/>
          </w:tcPr>
          <w:p w14:paraId="42D0F3C5" w14:textId="77777777" w:rsidR="00887805" w:rsidRPr="00E07B83" w:rsidRDefault="00BF76C9" w:rsidP="008D6A22">
            <w:pPr>
              <w:ind w:right="-250" w:firstLine="0"/>
              <w:jc w:val="left"/>
              <w:rPr>
                <w:rFonts w:eastAsia="Calibri" w:cs="Times New Roman"/>
                <w:sz w:val="22"/>
              </w:rPr>
            </w:pPr>
            <w:r w:rsidRPr="00E07B83">
              <w:rPr>
                <w:rFonts w:eastAsia="Calibri" w:cs="Times New Roman"/>
                <w:sz w:val="22"/>
              </w:rPr>
              <w:t>5.1.1.</w:t>
            </w:r>
          </w:p>
          <w:p w14:paraId="42D0F3C6" w14:textId="77777777" w:rsidR="0038447A" w:rsidRPr="00E07B83" w:rsidRDefault="00CC2EA2" w:rsidP="00CC2EA2">
            <w:pPr>
              <w:pStyle w:val="NoSpacing"/>
              <w:jc w:val="both"/>
              <w:rPr>
                <w:b w:val="0"/>
                <w:color w:val="FF0000"/>
                <w:sz w:val="22"/>
              </w:rPr>
            </w:pPr>
            <w:r w:rsidRPr="00CC2EA2">
              <w:rPr>
                <w:b w:val="0"/>
                <w:color w:val="000000" w:themeColor="text1"/>
                <w:sz w:val="22"/>
              </w:rPr>
              <w:t>Uzlabojas Korupcijas uztveres indekss</w:t>
            </w:r>
          </w:p>
        </w:tc>
        <w:tc>
          <w:tcPr>
            <w:tcW w:w="2552" w:type="dxa"/>
            <w:tcBorders>
              <w:bottom w:val="single" w:sz="4" w:space="0" w:color="auto"/>
            </w:tcBorders>
            <w:shd w:val="clear" w:color="auto" w:fill="auto"/>
          </w:tcPr>
          <w:p w14:paraId="42D0F3C7" w14:textId="77777777" w:rsidR="00887805" w:rsidRPr="00E07B83" w:rsidRDefault="00BF76C9" w:rsidP="00CC2EA2">
            <w:pPr>
              <w:ind w:right="33" w:firstLine="0"/>
              <w:jc w:val="left"/>
              <w:rPr>
                <w:rFonts w:eastAsia="Calibri" w:cs="Times New Roman"/>
                <w:sz w:val="22"/>
              </w:rPr>
            </w:pPr>
            <w:r w:rsidRPr="00E07B83">
              <w:rPr>
                <w:rFonts w:eastAsia="Calibri" w:cs="Times New Roman"/>
                <w:sz w:val="22"/>
              </w:rPr>
              <w:t>5.2.1.</w:t>
            </w:r>
            <w:r w:rsidR="00B771D2" w:rsidRPr="00E07B83">
              <w:rPr>
                <w:rFonts w:eastAsia="Calibri" w:cs="Times New Roman"/>
                <w:sz w:val="22"/>
              </w:rPr>
              <w:t>Uzlab</w:t>
            </w:r>
            <w:r w:rsidR="00CC2EA2">
              <w:rPr>
                <w:rFonts w:eastAsia="Calibri" w:cs="Times New Roman"/>
                <w:sz w:val="22"/>
              </w:rPr>
              <w:t>ot</w:t>
            </w:r>
            <w:r w:rsidR="00B771D2" w:rsidRPr="00E07B83">
              <w:rPr>
                <w:rFonts w:eastAsia="Calibri" w:cs="Times New Roman"/>
                <w:sz w:val="22"/>
              </w:rPr>
              <w:t xml:space="preserve"> Korupcijas </w:t>
            </w:r>
            <w:r w:rsidR="00CC2EA2">
              <w:rPr>
                <w:rFonts w:eastAsia="Calibri" w:cs="Times New Roman"/>
                <w:sz w:val="22"/>
              </w:rPr>
              <w:t>uztveres indeksu</w:t>
            </w:r>
            <w:r w:rsidR="00EA322C" w:rsidRPr="00E07B83">
              <w:rPr>
                <w:rFonts w:eastAsia="Calibri" w:cs="Times New Roman"/>
                <w:sz w:val="22"/>
              </w:rPr>
              <w:t xml:space="preserve"> (vērtējums 100 </w:t>
            </w:r>
            <w:r w:rsidR="00B771D2" w:rsidRPr="00E07B83">
              <w:rPr>
                <w:rFonts w:eastAsia="Calibri" w:cs="Times New Roman"/>
                <w:sz w:val="22"/>
              </w:rPr>
              <w:t>punktu sistēmā, kur “100” nozīmē “korupcijas nav”)</w:t>
            </w:r>
          </w:p>
        </w:tc>
        <w:tc>
          <w:tcPr>
            <w:tcW w:w="1134" w:type="dxa"/>
            <w:shd w:val="clear" w:color="auto" w:fill="auto"/>
            <w:vAlign w:val="center"/>
          </w:tcPr>
          <w:p w14:paraId="42D0F3C8" w14:textId="77777777" w:rsidR="00887805" w:rsidRPr="00E07B83" w:rsidRDefault="00B771D2" w:rsidP="00304AC0">
            <w:pPr>
              <w:ind w:right="-250" w:firstLine="0"/>
              <w:jc w:val="center"/>
              <w:rPr>
                <w:rFonts w:eastAsia="Calibri" w:cs="Times New Roman"/>
                <w:sz w:val="22"/>
              </w:rPr>
            </w:pPr>
            <w:r w:rsidRPr="00E07B83">
              <w:rPr>
                <w:rFonts w:eastAsia="Calibri" w:cs="Times New Roman"/>
                <w:sz w:val="22"/>
              </w:rPr>
              <w:t>55</w:t>
            </w:r>
          </w:p>
        </w:tc>
        <w:tc>
          <w:tcPr>
            <w:tcW w:w="1134" w:type="dxa"/>
            <w:shd w:val="clear" w:color="auto" w:fill="auto"/>
            <w:vAlign w:val="center"/>
          </w:tcPr>
          <w:p w14:paraId="42D0F3C9" w14:textId="77777777" w:rsidR="00887805" w:rsidRPr="00E07B83" w:rsidRDefault="00902CC7" w:rsidP="00304AC0">
            <w:pPr>
              <w:ind w:right="-250" w:firstLine="0"/>
              <w:jc w:val="center"/>
              <w:rPr>
                <w:rFonts w:eastAsia="Calibri" w:cs="Times New Roman"/>
                <w:sz w:val="22"/>
              </w:rPr>
            </w:pPr>
            <w:r w:rsidRPr="00E07B83">
              <w:rPr>
                <w:rFonts w:eastAsia="Calibri" w:cs="Times New Roman"/>
                <w:sz w:val="22"/>
              </w:rPr>
              <w:t>57</w:t>
            </w:r>
          </w:p>
        </w:tc>
        <w:tc>
          <w:tcPr>
            <w:tcW w:w="1134" w:type="dxa"/>
            <w:shd w:val="clear" w:color="auto" w:fill="auto"/>
            <w:vAlign w:val="center"/>
          </w:tcPr>
          <w:p w14:paraId="42D0F3CA" w14:textId="77777777" w:rsidR="00887805" w:rsidRPr="00E07B83" w:rsidRDefault="007C189D" w:rsidP="00304AC0">
            <w:pPr>
              <w:ind w:right="-250" w:firstLine="0"/>
              <w:jc w:val="center"/>
              <w:rPr>
                <w:rFonts w:eastAsia="Calibri" w:cs="Times New Roman"/>
                <w:sz w:val="22"/>
              </w:rPr>
            </w:pPr>
            <w:r w:rsidRPr="00E07B83">
              <w:rPr>
                <w:rFonts w:eastAsia="Calibri" w:cs="Times New Roman"/>
                <w:sz w:val="22"/>
              </w:rPr>
              <w:t>60</w:t>
            </w:r>
          </w:p>
        </w:tc>
        <w:tc>
          <w:tcPr>
            <w:tcW w:w="1134" w:type="dxa"/>
            <w:shd w:val="clear" w:color="auto" w:fill="auto"/>
            <w:vAlign w:val="center"/>
          </w:tcPr>
          <w:p w14:paraId="42D0F3CB" w14:textId="77777777" w:rsidR="00887805" w:rsidRPr="00E07B83" w:rsidRDefault="007C189D" w:rsidP="00304AC0">
            <w:pPr>
              <w:ind w:right="-250" w:firstLine="0"/>
              <w:jc w:val="center"/>
              <w:rPr>
                <w:rFonts w:eastAsia="Calibri" w:cs="Times New Roman"/>
                <w:sz w:val="22"/>
              </w:rPr>
            </w:pPr>
            <w:r w:rsidRPr="00E07B83">
              <w:rPr>
                <w:rFonts w:eastAsia="Calibri" w:cs="Times New Roman"/>
                <w:sz w:val="22"/>
              </w:rPr>
              <w:t>62</w:t>
            </w:r>
          </w:p>
        </w:tc>
        <w:tc>
          <w:tcPr>
            <w:tcW w:w="1134" w:type="dxa"/>
            <w:shd w:val="clear" w:color="auto" w:fill="auto"/>
            <w:vAlign w:val="center"/>
          </w:tcPr>
          <w:p w14:paraId="42D0F3CC" w14:textId="77777777" w:rsidR="00887805" w:rsidRPr="00E07B83" w:rsidRDefault="007C189D" w:rsidP="00304AC0">
            <w:pPr>
              <w:ind w:right="-250" w:firstLine="0"/>
              <w:jc w:val="center"/>
              <w:rPr>
                <w:rFonts w:eastAsia="Calibri" w:cs="Times New Roman"/>
                <w:sz w:val="22"/>
              </w:rPr>
            </w:pPr>
            <w:r w:rsidRPr="00E07B83">
              <w:rPr>
                <w:rFonts w:eastAsia="Calibri" w:cs="Times New Roman"/>
                <w:sz w:val="22"/>
              </w:rPr>
              <w:t>63</w:t>
            </w:r>
          </w:p>
        </w:tc>
      </w:tr>
    </w:tbl>
    <w:p w14:paraId="42D0F3CE" w14:textId="77777777" w:rsidR="00887805" w:rsidRPr="0038447A" w:rsidRDefault="00887805" w:rsidP="00887805">
      <w:pPr>
        <w:pStyle w:val="NoSpacing"/>
        <w:tabs>
          <w:tab w:val="left" w:pos="375"/>
        </w:tabs>
        <w:jc w:val="both"/>
        <w:rPr>
          <w:sz w:val="26"/>
          <w:szCs w:val="26"/>
        </w:rPr>
      </w:pPr>
    </w:p>
    <w:p w14:paraId="42D0F3CF" w14:textId="77777777" w:rsidR="003C0146" w:rsidRPr="0038447A" w:rsidRDefault="003C0146" w:rsidP="003C0146">
      <w:pPr>
        <w:spacing w:after="200" w:line="276" w:lineRule="auto"/>
        <w:ind w:firstLine="0"/>
        <w:jc w:val="left"/>
        <w:rPr>
          <w:b/>
          <w:sz w:val="26"/>
          <w:szCs w:val="26"/>
          <w:u w:val="single"/>
        </w:rPr>
      </w:pPr>
      <w:r w:rsidRPr="0038447A">
        <w:rPr>
          <w:b/>
          <w:sz w:val="26"/>
          <w:szCs w:val="26"/>
          <w:u w:val="single"/>
        </w:rPr>
        <w:t>Uzdevumi darbības virziena īstenošanai:</w:t>
      </w:r>
    </w:p>
    <w:p w14:paraId="42D0F3D0" w14:textId="77777777" w:rsidR="00D623CB" w:rsidRDefault="0093722A" w:rsidP="003A1281">
      <w:pPr>
        <w:pStyle w:val="NoSpacing"/>
        <w:numPr>
          <w:ilvl w:val="0"/>
          <w:numId w:val="44"/>
        </w:numPr>
        <w:ind w:left="284" w:hanging="284"/>
        <w:jc w:val="both"/>
        <w:rPr>
          <w:b w:val="0"/>
          <w:sz w:val="26"/>
          <w:szCs w:val="26"/>
        </w:rPr>
      </w:pPr>
      <w:r w:rsidRPr="0038447A">
        <w:rPr>
          <w:b w:val="0"/>
          <w:sz w:val="26"/>
          <w:szCs w:val="26"/>
        </w:rPr>
        <w:t>v</w:t>
      </w:r>
      <w:r w:rsidR="00623089" w:rsidRPr="0038447A">
        <w:rPr>
          <w:b w:val="0"/>
          <w:sz w:val="26"/>
          <w:szCs w:val="26"/>
        </w:rPr>
        <w:t xml:space="preserve">eikt korupcijas risku analīzi jomās, </w:t>
      </w:r>
      <w:r w:rsidR="00D623CB" w:rsidRPr="0038447A">
        <w:rPr>
          <w:b w:val="0"/>
          <w:sz w:val="26"/>
          <w:szCs w:val="26"/>
        </w:rPr>
        <w:t>kuras Birojs ir noteicis kā prioritāras nākamajam stratēģijas periodam</w:t>
      </w:r>
      <w:r w:rsidR="00E75639">
        <w:rPr>
          <w:b w:val="0"/>
          <w:sz w:val="26"/>
          <w:szCs w:val="26"/>
        </w:rPr>
        <w:t>,</w:t>
      </w:r>
      <w:r w:rsidR="00D623CB" w:rsidRPr="0038447A">
        <w:rPr>
          <w:b w:val="0"/>
          <w:sz w:val="26"/>
          <w:szCs w:val="26"/>
        </w:rPr>
        <w:t xml:space="preserve"> un izstrādāt pasākumus identificēto korupcijas risku mazināšanai;</w:t>
      </w:r>
    </w:p>
    <w:p w14:paraId="42D0F3D1" w14:textId="77777777" w:rsidR="00D623CB" w:rsidRPr="0038447A" w:rsidRDefault="00D623CB" w:rsidP="003A1281">
      <w:pPr>
        <w:pStyle w:val="NoSpacing"/>
        <w:numPr>
          <w:ilvl w:val="0"/>
          <w:numId w:val="44"/>
        </w:numPr>
        <w:ind w:left="284" w:hanging="284"/>
        <w:jc w:val="both"/>
        <w:rPr>
          <w:b w:val="0"/>
          <w:sz w:val="26"/>
          <w:szCs w:val="26"/>
        </w:rPr>
      </w:pPr>
      <w:r w:rsidRPr="0038447A">
        <w:rPr>
          <w:b w:val="0"/>
          <w:sz w:val="26"/>
          <w:szCs w:val="26"/>
        </w:rPr>
        <w:t>padziļināti analizēt finanšu līdzekļu izšķērdēšanas, kā arī korupcijas riskus “zemsliekšņa” iepirkumos vai iegādēs, kuru veikšanā nav jāpiemēro ārējo normatīvo aktu regulējums, un sniegt priekšlikumus risku mazināšanai</w:t>
      </w:r>
      <w:r w:rsidR="00DF2556" w:rsidRPr="0038447A">
        <w:rPr>
          <w:rStyle w:val="FootnoteReference"/>
          <w:b w:val="0"/>
          <w:sz w:val="26"/>
          <w:szCs w:val="26"/>
        </w:rPr>
        <w:footnoteReference w:id="20"/>
      </w:r>
      <w:r w:rsidRPr="0038447A">
        <w:rPr>
          <w:b w:val="0"/>
          <w:sz w:val="26"/>
          <w:szCs w:val="26"/>
        </w:rPr>
        <w:t>;</w:t>
      </w:r>
    </w:p>
    <w:p w14:paraId="42D0F3D2" w14:textId="77777777" w:rsidR="00B623F4" w:rsidRPr="0038447A" w:rsidRDefault="00B623F4" w:rsidP="003A1281">
      <w:pPr>
        <w:pStyle w:val="NoSpacing"/>
        <w:numPr>
          <w:ilvl w:val="0"/>
          <w:numId w:val="44"/>
        </w:numPr>
        <w:ind w:left="284" w:hanging="284"/>
        <w:jc w:val="both"/>
        <w:rPr>
          <w:b w:val="0"/>
          <w:sz w:val="26"/>
          <w:szCs w:val="26"/>
        </w:rPr>
      </w:pPr>
      <w:r w:rsidRPr="0038447A">
        <w:rPr>
          <w:b w:val="0"/>
          <w:sz w:val="26"/>
          <w:szCs w:val="26"/>
        </w:rPr>
        <w:t>pildīt starptautiskās saistības, ņemot vērā starptautisko novērtēšanas mehānismu ietvaros iztei</w:t>
      </w:r>
      <w:r w:rsidR="00876811">
        <w:rPr>
          <w:b w:val="0"/>
          <w:sz w:val="26"/>
          <w:szCs w:val="26"/>
        </w:rPr>
        <w:t>ktās rekomendācijas</w:t>
      </w:r>
      <w:r w:rsidRPr="0038447A">
        <w:rPr>
          <w:b w:val="0"/>
          <w:sz w:val="26"/>
          <w:szCs w:val="26"/>
        </w:rPr>
        <w:t>;</w:t>
      </w:r>
    </w:p>
    <w:p w14:paraId="42D0F3D3" w14:textId="77777777" w:rsidR="00B623F4" w:rsidRDefault="00B623F4" w:rsidP="00015E2D">
      <w:pPr>
        <w:pStyle w:val="NoSpacing"/>
        <w:numPr>
          <w:ilvl w:val="0"/>
          <w:numId w:val="44"/>
        </w:numPr>
        <w:ind w:left="284" w:hanging="284"/>
        <w:jc w:val="both"/>
        <w:rPr>
          <w:b w:val="0"/>
          <w:sz w:val="26"/>
          <w:szCs w:val="26"/>
        </w:rPr>
      </w:pPr>
      <w:r w:rsidRPr="0038447A">
        <w:rPr>
          <w:b w:val="0"/>
          <w:sz w:val="26"/>
          <w:szCs w:val="26"/>
        </w:rPr>
        <w:t xml:space="preserve">stiprināt Biroja starptautisko sadarbību ar reģionālajiem partneriem, jo īpaši ar Lietuvu, Igauniju un Poliju, kā arī kompetences ietvaros </w:t>
      </w:r>
      <w:r w:rsidR="00E75639">
        <w:rPr>
          <w:b w:val="0"/>
          <w:sz w:val="26"/>
          <w:szCs w:val="26"/>
        </w:rPr>
        <w:t>dalīties</w:t>
      </w:r>
      <w:r w:rsidR="00E75639" w:rsidRPr="0038447A">
        <w:rPr>
          <w:b w:val="0"/>
          <w:sz w:val="26"/>
          <w:szCs w:val="26"/>
        </w:rPr>
        <w:t xml:space="preserve"> </w:t>
      </w:r>
      <w:r w:rsidRPr="0038447A">
        <w:rPr>
          <w:b w:val="0"/>
          <w:sz w:val="26"/>
          <w:szCs w:val="26"/>
        </w:rPr>
        <w:t>pie</w:t>
      </w:r>
      <w:r w:rsidR="00876811">
        <w:rPr>
          <w:b w:val="0"/>
          <w:sz w:val="26"/>
          <w:szCs w:val="26"/>
        </w:rPr>
        <w:t>redzē ar ārvalstu partneriem</w:t>
      </w:r>
      <w:r w:rsidRPr="0038447A">
        <w:rPr>
          <w:b w:val="0"/>
          <w:sz w:val="26"/>
          <w:szCs w:val="26"/>
        </w:rPr>
        <w:t>.</w:t>
      </w:r>
    </w:p>
    <w:p w14:paraId="42D0F3D4" w14:textId="77777777" w:rsidR="00015E2D" w:rsidRPr="0038447A" w:rsidRDefault="00015E2D" w:rsidP="00015E2D">
      <w:pPr>
        <w:pStyle w:val="NoSpacing"/>
        <w:ind w:left="284"/>
        <w:jc w:val="both"/>
        <w:rPr>
          <w:b w:val="0"/>
          <w:sz w:val="26"/>
          <w:szCs w:val="26"/>
        </w:rPr>
      </w:pPr>
    </w:p>
    <w:p w14:paraId="42D0F3D5" w14:textId="77777777" w:rsidR="003C0146" w:rsidRPr="0038447A" w:rsidRDefault="003C0146" w:rsidP="00F47FAD">
      <w:pPr>
        <w:spacing w:after="240"/>
        <w:ind w:firstLine="0"/>
        <w:jc w:val="left"/>
        <w:rPr>
          <w:rFonts w:eastAsia="Times New Roman" w:cs="Times New Roman"/>
          <w:sz w:val="26"/>
          <w:szCs w:val="26"/>
          <w:lang w:eastAsia="lv-LV"/>
        </w:rPr>
      </w:pPr>
      <w:r w:rsidRPr="0038447A">
        <w:rPr>
          <w:b/>
          <w:sz w:val="26"/>
          <w:szCs w:val="26"/>
          <w:u w:val="single"/>
        </w:rPr>
        <w:t>Iesaistītās iestādes:</w:t>
      </w:r>
    </w:p>
    <w:p w14:paraId="42D0F3D6" w14:textId="77777777" w:rsidR="002006B5" w:rsidRDefault="00E050F8" w:rsidP="00015E2D">
      <w:pPr>
        <w:ind w:firstLine="0"/>
        <w:jc w:val="left"/>
        <w:rPr>
          <w:sz w:val="26"/>
          <w:szCs w:val="26"/>
        </w:rPr>
      </w:pPr>
      <w:r w:rsidRPr="0038447A">
        <w:rPr>
          <w:sz w:val="26"/>
          <w:szCs w:val="26"/>
        </w:rPr>
        <w:t>Iesaistīto iestāžu nav.</w:t>
      </w:r>
    </w:p>
    <w:p w14:paraId="42D0F3D7" w14:textId="77777777" w:rsidR="00F903F6" w:rsidRPr="007E68E1" w:rsidRDefault="00F903F6" w:rsidP="00015E2D">
      <w:pPr>
        <w:pStyle w:val="NoSpacing"/>
        <w:rPr>
          <w:b w:val="0"/>
          <w:sz w:val="26"/>
          <w:szCs w:val="26"/>
        </w:rPr>
      </w:pPr>
    </w:p>
    <w:p w14:paraId="42D0F3D8" w14:textId="77777777" w:rsidR="009A2E92" w:rsidRDefault="00C71AB0" w:rsidP="00015E2D">
      <w:pPr>
        <w:pStyle w:val="Heading2"/>
        <w:numPr>
          <w:ilvl w:val="1"/>
          <w:numId w:val="29"/>
        </w:numPr>
        <w:spacing w:after="0" w:afterAutospacing="0"/>
        <w:ind w:left="0" w:firstLine="0"/>
        <w:rPr>
          <w:sz w:val="26"/>
        </w:rPr>
      </w:pPr>
      <w:bookmarkStart w:id="27" w:name="_Toc500150889"/>
      <w:r w:rsidRPr="0038447A">
        <w:rPr>
          <w:sz w:val="26"/>
        </w:rPr>
        <w:t>Biroja darbības spēju izvērtējums</w:t>
      </w:r>
      <w:bookmarkEnd w:id="27"/>
    </w:p>
    <w:p w14:paraId="42D0F3D9" w14:textId="77777777" w:rsidR="00A1107C" w:rsidRDefault="00E92817" w:rsidP="00015E2D">
      <w:pPr>
        <w:pStyle w:val="Heading2"/>
        <w:numPr>
          <w:ilvl w:val="0"/>
          <w:numId w:val="0"/>
        </w:numPr>
        <w:spacing w:before="240" w:after="0" w:afterAutospacing="0"/>
        <w:rPr>
          <w:sz w:val="26"/>
        </w:rPr>
      </w:pPr>
      <w:bookmarkStart w:id="28" w:name="_Toc500150890"/>
      <w:r w:rsidRPr="0038447A">
        <w:rPr>
          <w:sz w:val="26"/>
        </w:rPr>
        <w:t xml:space="preserve">1.5.1. </w:t>
      </w:r>
      <w:r w:rsidR="00A1107C" w:rsidRPr="0038447A">
        <w:rPr>
          <w:sz w:val="26"/>
        </w:rPr>
        <w:t>Personāla vadība</w:t>
      </w:r>
      <w:bookmarkEnd w:id="28"/>
    </w:p>
    <w:p w14:paraId="42D0F3DA" w14:textId="77777777" w:rsidR="00015E2D" w:rsidRPr="00015E2D" w:rsidRDefault="00015E2D" w:rsidP="00015E2D"/>
    <w:p w14:paraId="42D0F3DB" w14:textId="77777777" w:rsidR="00A22DBE" w:rsidRPr="0038447A" w:rsidRDefault="00A22DBE" w:rsidP="00A22DBE">
      <w:pPr>
        <w:rPr>
          <w:rFonts w:cs="Times New Roman"/>
          <w:sz w:val="26"/>
          <w:szCs w:val="26"/>
        </w:rPr>
      </w:pPr>
      <w:r w:rsidRPr="0038447A">
        <w:rPr>
          <w:rFonts w:cs="Times New Roman"/>
          <w:sz w:val="26"/>
          <w:szCs w:val="26"/>
        </w:rPr>
        <w:t xml:space="preserve">Biroja </w:t>
      </w:r>
      <w:r w:rsidRPr="003E1DCD">
        <w:rPr>
          <w:rFonts w:cs="Times New Roman"/>
          <w:sz w:val="26"/>
          <w:szCs w:val="26"/>
        </w:rPr>
        <w:t>amatpersonas un darbinieki darbojas</w:t>
      </w:r>
      <w:r w:rsidRPr="0038447A">
        <w:rPr>
          <w:rFonts w:cs="Times New Roman"/>
          <w:sz w:val="26"/>
          <w:szCs w:val="26"/>
        </w:rPr>
        <w:t xml:space="preserve"> vienotā hierarhiskā sistēmā, kur viens darbinieks ir padots citam darbiniekam. Biroja amatpersonas un darbinieki darbojas savas kompetences ietvaros un savus pienākumus pilda un īsteno patstāvīgi.</w:t>
      </w:r>
    </w:p>
    <w:p w14:paraId="42D0F3DC" w14:textId="77777777" w:rsidR="00A22DBE" w:rsidRPr="0038447A" w:rsidRDefault="00A22DBE" w:rsidP="00A22DBE">
      <w:pPr>
        <w:rPr>
          <w:rFonts w:cs="Times New Roman"/>
          <w:sz w:val="26"/>
          <w:szCs w:val="26"/>
        </w:rPr>
      </w:pPr>
      <w:r w:rsidRPr="0038447A">
        <w:rPr>
          <w:rFonts w:cs="Times New Roman"/>
          <w:sz w:val="26"/>
          <w:szCs w:val="26"/>
        </w:rPr>
        <w:t>Biroja priekšnieka vietnieki vērtē tiem pakļauto nodaļu vadītājus un sniedz priekšlikumus viņu atalgojum</w:t>
      </w:r>
      <w:r w:rsidR="00BD57BF">
        <w:rPr>
          <w:rFonts w:cs="Times New Roman"/>
          <w:sz w:val="26"/>
          <w:szCs w:val="26"/>
        </w:rPr>
        <w:t>a</w:t>
      </w:r>
      <w:r w:rsidRPr="0038447A">
        <w:rPr>
          <w:rFonts w:cs="Times New Roman"/>
          <w:sz w:val="26"/>
          <w:szCs w:val="26"/>
        </w:rPr>
        <w:t xml:space="preserve">, piemaksu un apbalvojumu noteikšanai. Biroja </w:t>
      </w:r>
      <w:r w:rsidR="008D784B" w:rsidRPr="0038447A">
        <w:rPr>
          <w:rFonts w:cs="Times New Roman"/>
          <w:sz w:val="26"/>
          <w:szCs w:val="26"/>
        </w:rPr>
        <w:t>n</w:t>
      </w:r>
      <w:r w:rsidRPr="0038447A">
        <w:rPr>
          <w:rFonts w:cs="Times New Roman"/>
          <w:sz w:val="26"/>
          <w:szCs w:val="26"/>
        </w:rPr>
        <w:t xml:space="preserve">odaļu vadītāji iesniedz tiešajam </w:t>
      </w:r>
      <w:r w:rsidR="008D784B" w:rsidRPr="0038447A">
        <w:rPr>
          <w:rFonts w:cs="Times New Roman"/>
          <w:sz w:val="26"/>
          <w:szCs w:val="26"/>
        </w:rPr>
        <w:t xml:space="preserve">vadītājam </w:t>
      </w:r>
      <w:r w:rsidRPr="0038447A">
        <w:rPr>
          <w:rFonts w:cs="Times New Roman"/>
          <w:sz w:val="26"/>
          <w:szCs w:val="26"/>
        </w:rPr>
        <w:t xml:space="preserve">priekšlikumus par nodaļas struktūru un darba </w:t>
      </w:r>
      <w:r w:rsidRPr="0038447A">
        <w:rPr>
          <w:rFonts w:cs="Times New Roman"/>
          <w:sz w:val="26"/>
          <w:szCs w:val="26"/>
        </w:rPr>
        <w:lastRenderedPageBreak/>
        <w:t>organizāciju, darbiniek</w:t>
      </w:r>
      <w:r w:rsidR="00BD57BF">
        <w:rPr>
          <w:rFonts w:cs="Times New Roman"/>
          <w:sz w:val="26"/>
          <w:szCs w:val="26"/>
        </w:rPr>
        <w:t>a</w:t>
      </w:r>
      <w:r w:rsidRPr="0038447A">
        <w:rPr>
          <w:rFonts w:cs="Times New Roman"/>
          <w:sz w:val="26"/>
          <w:szCs w:val="26"/>
        </w:rPr>
        <w:t xml:space="preserve"> iecelšanu amatā un atbrīvošanu no amata, darbinieka pienākumu apjomu, darbības rezultātiem, materiālo un morālo stimulēšanu, saukšanu pie disciplināratbildības, kā arī darbinieka kvalifikācijas paaugstināšanu. Juridiskā nodaļa nodrošina Biroja personāla vadības funkciju izpildi un to attīstību iestādē.</w:t>
      </w:r>
    </w:p>
    <w:p w14:paraId="42D0F3DD" w14:textId="77777777" w:rsidR="00A22DBE" w:rsidRPr="0038447A" w:rsidRDefault="00A22DBE" w:rsidP="00A22DBE">
      <w:pPr>
        <w:rPr>
          <w:rFonts w:cs="Times New Roman"/>
          <w:sz w:val="26"/>
          <w:szCs w:val="26"/>
        </w:rPr>
      </w:pPr>
      <w:r w:rsidRPr="0038447A">
        <w:rPr>
          <w:rFonts w:cs="Times New Roman"/>
          <w:sz w:val="26"/>
          <w:szCs w:val="26"/>
        </w:rPr>
        <w:t xml:space="preserve">Korupcijas novēršanas un apkarošanas biroja likumā tika veikti būtiski grozījumi (stājās spēkā 2016.gada 5.aprīlī), kuru rezultātā notika Biroja amatpersonu statusa maiņa, proti, notika pāreja no darba tiesiskajām uz valsts dienesta tiesiskajām attiecībām. </w:t>
      </w:r>
    </w:p>
    <w:p w14:paraId="42D0F3DE" w14:textId="77777777" w:rsidR="00A540A6" w:rsidRPr="0038447A" w:rsidRDefault="00500F26" w:rsidP="00500F26">
      <w:pPr>
        <w:pStyle w:val="NoSpacing"/>
        <w:jc w:val="both"/>
        <w:rPr>
          <w:b w:val="0"/>
          <w:sz w:val="26"/>
          <w:szCs w:val="26"/>
        </w:rPr>
      </w:pPr>
      <w:r w:rsidRPr="0038447A">
        <w:rPr>
          <w:sz w:val="26"/>
          <w:szCs w:val="26"/>
        </w:rPr>
        <w:tab/>
      </w:r>
      <w:r w:rsidR="00A540A6" w:rsidRPr="0038447A">
        <w:rPr>
          <w:b w:val="0"/>
          <w:sz w:val="26"/>
          <w:szCs w:val="26"/>
        </w:rPr>
        <w:t xml:space="preserve">Lai </w:t>
      </w:r>
      <w:proofErr w:type="spellStart"/>
      <w:r w:rsidR="00A540A6" w:rsidRPr="0038447A">
        <w:rPr>
          <w:b w:val="0"/>
          <w:sz w:val="26"/>
          <w:szCs w:val="26"/>
        </w:rPr>
        <w:t>efektivizētu</w:t>
      </w:r>
      <w:proofErr w:type="spellEnd"/>
      <w:r w:rsidR="00A540A6" w:rsidRPr="0038447A">
        <w:rPr>
          <w:b w:val="0"/>
          <w:sz w:val="26"/>
          <w:szCs w:val="26"/>
        </w:rPr>
        <w:t xml:space="preserve"> Biroja funkciju izpildi, izvērtējot nepieciešamību pilnveidot analītisko darbu, 2017.gada 1.novembrī Birojā ir veiktas būtiskas strukturālās izmaiņas, izveidojot Stratēģiskās analīzes </w:t>
      </w:r>
      <w:r w:rsidR="005E453D" w:rsidRPr="0038447A">
        <w:rPr>
          <w:b w:val="0"/>
          <w:sz w:val="26"/>
          <w:szCs w:val="26"/>
        </w:rPr>
        <w:t xml:space="preserve">un politikas plānošanas nodaļu un </w:t>
      </w:r>
      <w:r w:rsidR="00A540A6" w:rsidRPr="0038447A">
        <w:rPr>
          <w:b w:val="0"/>
          <w:sz w:val="26"/>
          <w:szCs w:val="26"/>
        </w:rPr>
        <w:t>Lietvedības nodaļu. Stratēģiskās analīzes un politikas plānošanas nodaļa ir tiešā Biroja priekšnieka pakļautībā. Tā nodrošin</w:t>
      </w:r>
      <w:r w:rsidR="009669F2">
        <w:rPr>
          <w:b w:val="0"/>
          <w:sz w:val="26"/>
          <w:szCs w:val="26"/>
        </w:rPr>
        <w:t>a</w:t>
      </w:r>
      <w:r w:rsidR="00A540A6" w:rsidRPr="0038447A">
        <w:rPr>
          <w:b w:val="0"/>
          <w:sz w:val="26"/>
          <w:szCs w:val="26"/>
        </w:rPr>
        <w:t xml:space="preserve"> normatīvās bāzes plānošanas sistēmas pilnveidošanu korupcijas novēršanas jomā, korupcijas </w:t>
      </w:r>
      <w:r w:rsidR="009669F2" w:rsidRPr="0038447A">
        <w:rPr>
          <w:b w:val="0"/>
          <w:sz w:val="26"/>
          <w:szCs w:val="26"/>
        </w:rPr>
        <w:t>novēršan</w:t>
      </w:r>
      <w:r w:rsidR="00F75E3C">
        <w:rPr>
          <w:b w:val="0"/>
          <w:sz w:val="26"/>
          <w:szCs w:val="26"/>
        </w:rPr>
        <w:t>as</w:t>
      </w:r>
      <w:r w:rsidR="009669F2" w:rsidRPr="0038447A">
        <w:rPr>
          <w:b w:val="0"/>
          <w:sz w:val="26"/>
          <w:szCs w:val="26"/>
        </w:rPr>
        <w:t xml:space="preserve"> </w:t>
      </w:r>
      <w:r w:rsidR="00A540A6" w:rsidRPr="0038447A">
        <w:rPr>
          <w:b w:val="0"/>
          <w:sz w:val="26"/>
          <w:szCs w:val="26"/>
        </w:rPr>
        <w:t xml:space="preserve">un apkarošanas metodikas attīstīšanu valsts iestādēs, biroja sabiedrisko attiecību koordinēšanu un sabiedrības izglītošanas stratēģijas izstrādi, kā arī </w:t>
      </w:r>
      <w:r w:rsidR="009669F2" w:rsidRPr="0038447A">
        <w:rPr>
          <w:b w:val="0"/>
          <w:sz w:val="26"/>
          <w:szCs w:val="26"/>
        </w:rPr>
        <w:t>vei</w:t>
      </w:r>
      <w:r w:rsidR="009669F2">
        <w:rPr>
          <w:b w:val="0"/>
          <w:sz w:val="26"/>
          <w:szCs w:val="26"/>
        </w:rPr>
        <w:t>c</w:t>
      </w:r>
      <w:r w:rsidR="009669F2" w:rsidRPr="0038447A">
        <w:rPr>
          <w:b w:val="0"/>
          <w:sz w:val="26"/>
          <w:szCs w:val="26"/>
        </w:rPr>
        <w:t xml:space="preserve"> </w:t>
      </w:r>
      <w:r w:rsidR="00A540A6" w:rsidRPr="0038447A">
        <w:rPr>
          <w:b w:val="0"/>
          <w:sz w:val="26"/>
          <w:szCs w:val="26"/>
        </w:rPr>
        <w:t>Latvijas un citu valstu pieredzes apkopošanu korupcijas novēršanas un apkarošanas jomā un tās stratēģisko analīzi.</w:t>
      </w:r>
    </w:p>
    <w:p w14:paraId="42D0F3DF" w14:textId="77777777" w:rsidR="0003216A" w:rsidRPr="0038447A" w:rsidRDefault="00A540A6" w:rsidP="00500F26">
      <w:pPr>
        <w:pStyle w:val="NoSpacing"/>
        <w:jc w:val="both"/>
        <w:rPr>
          <w:b w:val="0"/>
          <w:sz w:val="26"/>
          <w:szCs w:val="26"/>
        </w:rPr>
      </w:pPr>
      <w:r w:rsidRPr="0038447A">
        <w:rPr>
          <w:b w:val="0"/>
          <w:sz w:val="26"/>
          <w:szCs w:val="26"/>
        </w:rPr>
        <w:tab/>
        <w:t xml:space="preserve">Lai efektīvi un kvalitatīvi tiktu nodrošināta plaša informācijas analīze, ir nepieciešams piesaistīt kvalificētus darbiniekus un </w:t>
      </w:r>
      <w:r w:rsidR="00014AC0">
        <w:rPr>
          <w:b w:val="0"/>
          <w:sz w:val="26"/>
          <w:szCs w:val="26"/>
        </w:rPr>
        <w:t>pilnveidot</w:t>
      </w:r>
      <w:r w:rsidRPr="0038447A">
        <w:rPr>
          <w:b w:val="0"/>
          <w:sz w:val="26"/>
          <w:szCs w:val="26"/>
        </w:rPr>
        <w:t xml:space="preserve"> esošo darbinieku zināšanas</w:t>
      </w:r>
      <w:r w:rsidR="0003216A" w:rsidRPr="0038447A">
        <w:rPr>
          <w:b w:val="0"/>
          <w:sz w:val="26"/>
          <w:szCs w:val="26"/>
        </w:rPr>
        <w:t xml:space="preserve"> par informācijas tehnoloģijām</w:t>
      </w:r>
      <w:r w:rsidRPr="0038447A">
        <w:rPr>
          <w:b w:val="0"/>
          <w:sz w:val="26"/>
          <w:szCs w:val="26"/>
        </w:rPr>
        <w:t>, finanšu</w:t>
      </w:r>
      <w:r w:rsidR="0003216A" w:rsidRPr="0038447A">
        <w:rPr>
          <w:b w:val="0"/>
          <w:sz w:val="26"/>
          <w:szCs w:val="26"/>
        </w:rPr>
        <w:t xml:space="preserve"> un stratēģisko analīzi</w:t>
      </w:r>
      <w:r w:rsidRPr="0038447A">
        <w:rPr>
          <w:b w:val="0"/>
          <w:sz w:val="26"/>
          <w:szCs w:val="26"/>
        </w:rPr>
        <w:t xml:space="preserve">. Lai noteiktu korupcijas riskam pakļautās jomas un risku analīzes rezultātā identificētu personas, kuru darbībā saskatāmas likumpārkāpumu pazīmes, Birojā šobrīd netiek izmantotas efektīvākās informācijas analīzes metodes. </w:t>
      </w:r>
      <w:r w:rsidR="0003216A" w:rsidRPr="0038447A">
        <w:rPr>
          <w:b w:val="0"/>
          <w:sz w:val="26"/>
          <w:szCs w:val="26"/>
        </w:rPr>
        <w:t xml:space="preserve">Ieviešot citu valstu pieredzi stratēģiskās analīzes veikšanā, tiks pilnvērtīgi izmantoti Biroja resursi. </w:t>
      </w:r>
    </w:p>
    <w:p w14:paraId="42D0F3E0" w14:textId="77777777" w:rsidR="00A22DBE" w:rsidRPr="0038447A" w:rsidRDefault="00014AC0" w:rsidP="00A22DBE">
      <w:pPr>
        <w:rPr>
          <w:rFonts w:cs="Times New Roman"/>
          <w:sz w:val="26"/>
          <w:szCs w:val="26"/>
        </w:rPr>
      </w:pPr>
      <w:r>
        <w:rPr>
          <w:rFonts w:cs="Times New Roman"/>
          <w:sz w:val="26"/>
          <w:szCs w:val="26"/>
        </w:rPr>
        <w:t>Lai uzlabotu Biroja nodrošināšanu ar kvalificētu personālu, t</w:t>
      </w:r>
      <w:r w:rsidR="00A22DBE" w:rsidRPr="0038447A">
        <w:rPr>
          <w:rFonts w:cs="Times New Roman"/>
          <w:sz w:val="26"/>
          <w:szCs w:val="26"/>
        </w:rPr>
        <w:t xml:space="preserve">ika pilnveidoti Biroja iekšējie normatīvie akti, kas nosaka personāla atlases procedūru, proti, 2016.gada 1.septembrī </w:t>
      </w:r>
      <w:r w:rsidR="003F1F02" w:rsidRPr="0038447A">
        <w:rPr>
          <w:rFonts w:cs="Times New Roman"/>
          <w:sz w:val="26"/>
          <w:szCs w:val="26"/>
        </w:rPr>
        <w:t>tika pieņemta kārtība Nr. 1-4/4 „</w:t>
      </w:r>
      <w:r w:rsidR="00A22DBE" w:rsidRPr="0038447A">
        <w:rPr>
          <w:rFonts w:cs="Times New Roman"/>
          <w:sz w:val="26"/>
          <w:szCs w:val="26"/>
        </w:rPr>
        <w:t>Pretendentu uz vakantajām amata vietām atlase kārtība”.</w:t>
      </w:r>
    </w:p>
    <w:p w14:paraId="42D0F3E1" w14:textId="77777777" w:rsidR="00A22DBE" w:rsidRPr="0038447A" w:rsidRDefault="00A22DBE" w:rsidP="00A22DBE">
      <w:pPr>
        <w:rPr>
          <w:rFonts w:cs="Times New Roman"/>
          <w:sz w:val="26"/>
          <w:szCs w:val="26"/>
        </w:rPr>
      </w:pPr>
      <w:r w:rsidRPr="0038447A">
        <w:rPr>
          <w:rFonts w:cs="Times New Roman"/>
          <w:sz w:val="26"/>
          <w:szCs w:val="26"/>
        </w:rPr>
        <w:t xml:space="preserve">Obligātās prasības pretendentiem dienestam Birojā noteiktas Korupcijas novēršanas un apkarošanas biroja likumā. Personāla atlases procesā ir jānodrošina kandidātu atbilstības izvērtēšana gan Korupcijas novēršanas un apkarošana </w:t>
      </w:r>
      <w:r w:rsidR="008D784B" w:rsidRPr="0038447A">
        <w:rPr>
          <w:rFonts w:cs="Times New Roman"/>
          <w:sz w:val="26"/>
          <w:szCs w:val="26"/>
        </w:rPr>
        <w:t xml:space="preserve">biroja </w:t>
      </w:r>
      <w:r w:rsidRPr="0038447A">
        <w:rPr>
          <w:rFonts w:cs="Times New Roman"/>
          <w:sz w:val="26"/>
          <w:szCs w:val="26"/>
        </w:rPr>
        <w:t>likumā noteiktajām obligātajām prasībām, gan arī atbilstības likumā „Par valsts noslēpumu” noteiktajām prasībām</w:t>
      </w:r>
      <w:r w:rsidR="004D36CB" w:rsidRPr="0038447A">
        <w:rPr>
          <w:rFonts w:cs="Times New Roman"/>
          <w:sz w:val="26"/>
          <w:szCs w:val="26"/>
        </w:rPr>
        <w:t>, lai amatpersona varētu saņemt</w:t>
      </w:r>
      <w:r w:rsidRPr="0038447A">
        <w:rPr>
          <w:rFonts w:cs="Times New Roman"/>
          <w:sz w:val="26"/>
          <w:szCs w:val="26"/>
        </w:rPr>
        <w:t xml:space="preserve"> speciālo atļauju pieejai valsts noslēpumam. Līdz ar to pretendentu atlase ir laikietilpīgs un ilgstošs process</w:t>
      </w:r>
      <w:r w:rsidR="00697F13">
        <w:rPr>
          <w:rFonts w:cs="Times New Roman"/>
          <w:sz w:val="26"/>
          <w:szCs w:val="26"/>
        </w:rPr>
        <w:t>, kas</w:t>
      </w:r>
      <w:r w:rsidRPr="0038447A">
        <w:rPr>
          <w:rFonts w:cs="Times New Roman"/>
          <w:sz w:val="26"/>
          <w:szCs w:val="26"/>
        </w:rPr>
        <w:t xml:space="preserve"> sastāv no diviem etapiem – pretendenta profesionālās atbilstības izvērtējuma (iegūtā izglītība, darba pieredze, pretendenta spēja analizēt lielu informācijas apjomu, spēja pieņemt lēmumus, citas prasmes, iemaņas) un personas izvērtējuma speciāl</w:t>
      </w:r>
      <w:r w:rsidR="00697F13">
        <w:rPr>
          <w:rFonts w:cs="Times New Roman"/>
          <w:sz w:val="26"/>
          <w:szCs w:val="26"/>
        </w:rPr>
        <w:t>ās</w:t>
      </w:r>
      <w:r w:rsidRPr="0038447A">
        <w:rPr>
          <w:rFonts w:cs="Times New Roman"/>
          <w:sz w:val="26"/>
          <w:szCs w:val="26"/>
        </w:rPr>
        <w:t xml:space="preserve"> atļauj</w:t>
      </w:r>
      <w:r w:rsidR="00697F13">
        <w:rPr>
          <w:rFonts w:cs="Times New Roman"/>
          <w:sz w:val="26"/>
          <w:szCs w:val="26"/>
        </w:rPr>
        <w:t>as</w:t>
      </w:r>
      <w:r w:rsidRPr="0038447A">
        <w:rPr>
          <w:rFonts w:cs="Times New Roman"/>
          <w:sz w:val="26"/>
          <w:szCs w:val="26"/>
        </w:rPr>
        <w:t xml:space="preserve"> pieejai valsts noslēpumam</w:t>
      </w:r>
      <w:r w:rsidR="00697F13">
        <w:rPr>
          <w:rFonts w:cs="Times New Roman"/>
          <w:sz w:val="26"/>
          <w:szCs w:val="26"/>
        </w:rPr>
        <w:t xml:space="preserve"> saņemšanai</w:t>
      </w:r>
      <w:r w:rsidRPr="0038447A">
        <w:rPr>
          <w:rFonts w:cs="Times New Roman"/>
          <w:sz w:val="26"/>
          <w:szCs w:val="26"/>
        </w:rPr>
        <w:t>. Salīdzinoši ilgā darbinieku atlases procedūra Birojā ir uzskatāma par visai būtisku papildu apgrūtinājumu jaunu darbinieku piesaistē</w:t>
      </w:r>
      <w:r w:rsidR="0003216A" w:rsidRPr="0038447A">
        <w:rPr>
          <w:rFonts w:cs="Times New Roman"/>
          <w:sz w:val="26"/>
          <w:szCs w:val="26"/>
        </w:rPr>
        <w:t>.</w:t>
      </w:r>
    </w:p>
    <w:p w14:paraId="42D0F3E2" w14:textId="77777777" w:rsidR="00A22DBE" w:rsidRPr="0038447A" w:rsidRDefault="00A22DBE" w:rsidP="00A22DBE">
      <w:pPr>
        <w:rPr>
          <w:rFonts w:cs="Times New Roman"/>
          <w:sz w:val="26"/>
          <w:szCs w:val="26"/>
        </w:rPr>
      </w:pPr>
      <w:r w:rsidRPr="0038447A">
        <w:rPr>
          <w:rFonts w:cs="Times New Roman"/>
          <w:sz w:val="26"/>
          <w:szCs w:val="26"/>
        </w:rPr>
        <w:t xml:space="preserve">Birojā ir </w:t>
      </w:r>
      <w:r w:rsidR="003E1DCD">
        <w:rPr>
          <w:rFonts w:cs="Times New Roman"/>
          <w:sz w:val="26"/>
          <w:szCs w:val="26"/>
        </w:rPr>
        <w:t>nepieciešams</w:t>
      </w:r>
      <w:r w:rsidR="005F5463">
        <w:rPr>
          <w:rFonts w:cs="Times New Roman"/>
          <w:sz w:val="26"/>
          <w:szCs w:val="26"/>
        </w:rPr>
        <w:t xml:space="preserve"> veikt pasākumus, lai</w:t>
      </w:r>
      <w:r w:rsidR="003E1DCD">
        <w:rPr>
          <w:rFonts w:cs="Times New Roman"/>
          <w:sz w:val="26"/>
          <w:szCs w:val="26"/>
        </w:rPr>
        <w:t xml:space="preserve"> </w:t>
      </w:r>
      <w:r w:rsidR="005F5463">
        <w:rPr>
          <w:rFonts w:cs="Times New Roman"/>
          <w:sz w:val="26"/>
          <w:szCs w:val="26"/>
        </w:rPr>
        <w:t xml:space="preserve">nodarbinātajiem nodrošinātu </w:t>
      </w:r>
      <w:r w:rsidR="005F5463" w:rsidRPr="005107A4">
        <w:rPr>
          <w:color w:val="000000" w:themeColor="text1"/>
          <w:sz w:val="26"/>
          <w:szCs w:val="26"/>
        </w:rPr>
        <w:t>konkurētspējīgu atalgojumu, kā arī</w:t>
      </w:r>
      <w:r w:rsidR="005F5463" w:rsidRPr="00627C4B">
        <w:rPr>
          <w:rFonts w:cs="Times New Roman"/>
          <w:sz w:val="26"/>
          <w:szCs w:val="26"/>
        </w:rPr>
        <w:t xml:space="preserve"> </w:t>
      </w:r>
      <w:r w:rsidR="003E1DCD" w:rsidRPr="005107A4">
        <w:rPr>
          <w:rFonts w:cs="Times New Roman"/>
          <w:sz w:val="26"/>
          <w:szCs w:val="26"/>
        </w:rPr>
        <w:t>turpināt</w:t>
      </w:r>
      <w:r w:rsidR="005F5463" w:rsidRPr="005107A4">
        <w:rPr>
          <w:rFonts w:cs="Times New Roman"/>
          <w:sz w:val="26"/>
          <w:szCs w:val="26"/>
        </w:rPr>
        <w:t>u</w:t>
      </w:r>
      <w:r w:rsidR="003E1DCD" w:rsidRPr="005107A4">
        <w:rPr>
          <w:rFonts w:cs="Times New Roman"/>
          <w:sz w:val="26"/>
          <w:szCs w:val="26"/>
        </w:rPr>
        <w:t xml:space="preserve"> pilnveidot</w:t>
      </w:r>
      <w:r w:rsidRPr="0038447A">
        <w:rPr>
          <w:rFonts w:cs="Times New Roman"/>
          <w:sz w:val="26"/>
          <w:szCs w:val="26"/>
        </w:rPr>
        <w:t xml:space="preserve"> </w:t>
      </w:r>
      <w:r w:rsidR="003E4FD6" w:rsidRPr="0038447A">
        <w:rPr>
          <w:rFonts w:cs="Times New Roman"/>
          <w:sz w:val="26"/>
          <w:szCs w:val="26"/>
        </w:rPr>
        <w:t>tehnisko</w:t>
      </w:r>
      <w:r w:rsidRPr="0038447A">
        <w:rPr>
          <w:rFonts w:cs="Times New Roman"/>
          <w:sz w:val="26"/>
          <w:szCs w:val="26"/>
        </w:rPr>
        <w:t xml:space="preserve"> nodrošinājum</w:t>
      </w:r>
      <w:r w:rsidR="005F5463">
        <w:rPr>
          <w:rFonts w:cs="Times New Roman"/>
          <w:sz w:val="26"/>
          <w:szCs w:val="26"/>
        </w:rPr>
        <w:t>u.</w:t>
      </w:r>
      <w:r w:rsidR="007C5C27">
        <w:rPr>
          <w:rFonts w:cs="Times New Roman"/>
          <w:sz w:val="26"/>
          <w:szCs w:val="26"/>
        </w:rPr>
        <w:t xml:space="preserve"> </w:t>
      </w:r>
      <w:r w:rsidRPr="0038447A">
        <w:rPr>
          <w:rFonts w:cs="Times New Roman"/>
          <w:sz w:val="26"/>
          <w:szCs w:val="26"/>
        </w:rPr>
        <w:t>Biroj</w:t>
      </w:r>
      <w:r w:rsidR="005107A4">
        <w:rPr>
          <w:rFonts w:cs="Times New Roman"/>
          <w:sz w:val="26"/>
          <w:szCs w:val="26"/>
        </w:rPr>
        <w:t>ā</w:t>
      </w:r>
      <w:r w:rsidRPr="0038447A">
        <w:rPr>
          <w:rFonts w:cs="Times New Roman"/>
          <w:sz w:val="26"/>
          <w:szCs w:val="26"/>
        </w:rPr>
        <w:t xml:space="preserve"> </w:t>
      </w:r>
      <w:r w:rsidR="005F5463">
        <w:rPr>
          <w:rFonts w:cs="Times New Roman"/>
          <w:sz w:val="26"/>
          <w:szCs w:val="26"/>
        </w:rPr>
        <w:t>nodarbinātajiem</w:t>
      </w:r>
      <w:r w:rsidRPr="0038447A">
        <w:rPr>
          <w:rFonts w:cs="Times New Roman"/>
          <w:sz w:val="26"/>
          <w:szCs w:val="26"/>
        </w:rPr>
        <w:t xml:space="preserve"> ir nodrošināta veselības apdrošināšana, kā arī nelaimes gadījumu apdrošināšana </w:t>
      </w:r>
      <w:r w:rsidR="005F5463">
        <w:rPr>
          <w:rFonts w:cs="Times New Roman"/>
          <w:sz w:val="26"/>
          <w:szCs w:val="26"/>
        </w:rPr>
        <w:t>amatpersonām</w:t>
      </w:r>
      <w:r w:rsidRPr="0038447A">
        <w:rPr>
          <w:rFonts w:cs="Times New Roman"/>
          <w:sz w:val="26"/>
          <w:szCs w:val="26"/>
        </w:rPr>
        <w:t>, kur</w:t>
      </w:r>
      <w:r w:rsidR="005F5463">
        <w:rPr>
          <w:rFonts w:cs="Times New Roman"/>
          <w:sz w:val="26"/>
          <w:szCs w:val="26"/>
        </w:rPr>
        <w:t>as</w:t>
      </w:r>
      <w:r w:rsidRPr="0038447A">
        <w:rPr>
          <w:rFonts w:cs="Times New Roman"/>
          <w:sz w:val="26"/>
          <w:szCs w:val="26"/>
        </w:rPr>
        <w:t xml:space="preserve"> veic izmeklēšanu un operatīvo darbību, kā arī pabalsti (atvaļinājuma pabalsts atkarībā no stāža u.c.), kompensācijas un cita normatīvajos aktos paredzētā noteikto izdevumu segšana.</w:t>
      </w:r>
      <w:r w:rsidRPr="0038447A">
        <w:rPr>
          <w:rFonts w:asciiTheme="minorHAnsi" w:hAnsiTheme="minorHAnsi"/>
          <w:sz w:val="26"/>
          <w:szCs w:val="26"/>
        </w:rPr>
        <w:t xml:space="preserve"> </w:t>
      </w:r>
      <w:r w:rsidRPr="0038447A">
        <w:rPr>
          <w:rFonts w:cs="Times New Roman"/>
          <w:sz w:val="26"/>
          <w:szCs w:val="26"/>
        </w:rPr>
        <w:t xml:space="preserve">Atkarībā no sasniegtajiem </w:t>
      </w:r>
      <w:r w:rsidR="008D784B" w:rsidRPr="0038447A">
        <w:rPr>
          <w:rFonts w:cs="Times New Roman"/>
          <w:sz w:val="26"/>
          <w:szCs w:val="26"/>
        </w:rPr>
        <w:t xml:space="preserve">darba izpildes </w:t>
      </w:r>
      <w:r w:rsidRPr="0038447A">
        <w:rPr>
          <w:rFonts w:cs="Times New Roman"/>
          <w:sz w:val="26"/>
          <w:szCs w:val="26"/>
        </w:rPr>
        <w:t xml:space="preserve">rezultātiem un veicamo darbu prioritātēm, regulāri tiek pārskatīts jautājums par iespēju piešķirt normatīvajos aktos paredzētās prēmijas, piemaksas (par </w:t>
      </w:r>
      <w:r w:rsidRPr="0038447A">
        <w:rPr>
          <w:rFonts w:cs="Times New Roman"/>
          <w:sz w:val="26"/>
          <w:szCs w:val="26"/>
        </w:rPr>
        <w:lastRenderedPageBreak/>
        <w:t xml:space="preserve">personisko darba ieguldījumu un </w:t>
      </w:r>
      <w:r w:rsidR="003E54DF">
        <w:rPr>
          <w:rFonts w:cs="Times New Roman"/>
          <w:sz w:val="26"/>
          <w:szCs w:val="26"/>
        </w:rPr>
        <w:t xml:space="preserve">darba </w:t>
      </w:r>
      <w:r w:rsidRPr="0038447A">
        <w:rPr>
          <w:rFonts w:cs="Times New Roman"/>
          <w:sz w:val="26"/>
          <w:szCs w:val="26"/>
        </w:rPr>
        <w:t>kvalitāti, speciālās piemaksas par darbu, kas saistīts ar īpašu risku, par papildu darbu u.c.) un naudas balvas.</w:t>
      </w:r>
    </w:p>
    <w:p w14:paraId="42D0F3E3" w14:textId="77777777" w:rsidR="00A22DBE" w:rsidRPr="0038447A" w:rsidRDefault="00A22DBE" w:rsidP="00A22DBE">
      <w:pPr>
        <w:rPr>
          <w:rFonts w:cs="Times New Roman"/>
          <w:sz w:val="26"/>
          <w:szCs w:val="26"/>
        </w:rPr>
      </w:pPr>
      <w:r w:rsidRPr="0038447A">
        <w:rPr>
          <w:rFonts w:cs="Times New Roman"/>
          <w:sz w:val="26"/>
          <w:szCs w:val="26"/>
        </w:rPr>
        <w:t>Biroja</w:t>
      </w:r>
      <w:r w:rsidR="006909A7">
        <w:rPr>
          <w:rFonts w:cs="Times New Roman"/>
          <w:sz w:val="26"/>
          <w:szCs w:val="26"/>
        </w:rPr>
        <w:t xml:space="preserve"> personāla prasmju un kompetenču pilnveidošanai ir nepieciešams </w:t>
      </w:r>
      <w:r w:rsidRPr="0038447A">
        <w:rPr>
          <w:rFonts w:cs="Times New Roman"/>
          <w:sz w:val="26"/>
          <w:szCs w:val="26"/>
        </w:rPr>
        <w:t xml:space="preserve"> izstrādāt apmācību programm</w:t>
      </w:r>
      <w:r w:rsidR="004D36CB" w:rsidRPr="0038447A">
        <w:rPr>
          <w:rFonts w:cs="Times New Roman"/>
          <w:sz w:val="26"/>
          <w:szCs w:val="26"/>
        </w:rPr>
        <w:t>u</w:t>
      </w:r>
      <w:r w:rsidRPr="0038447A">
        <w:rPr>
          <w:rFonts w:cs="Times New Roman"/>
          <w:sz w:val="26"/>
          <w:szCs w:val="26"/>
        </w:rPr>
        <w:t>, kas būtu atbilstoša Biroja specifikai, paredzot tajā vispārīg</w:t>
      </w:r>
      <w:r w:rsidR="002C298A">
        <w:rPr>
          <w:rFonts w:cs="Times New Roman"/>
          <w:sz w:val="26"/>
          <w:szCs w:val="26"/>
        </w:rPr>
        <w:t>o prasmju attīstīšanas virzienu</w:t>
      </w:r>
      <w:r w:rsidRPr="0038447A">
        <w:rPr>
          <w:rFonts w:cs="Times New Roman"/>
          <w:sz w:val="26"/>
          <w:szCs w:val="26"/>
        </w:rPr>
        <w:t xml:space="preserve"> un speciālo prasmju attīstīšanas virzienu. </w:t>
      </w:r>
    </w:p>
    <w:p w14:paraId="42D0F3E4" w14:textId="77777777" w:rsidR="00425697" w:rsidRPr="002C298A" w:rsidRDefault="00CE7620" w:rsidP="002C298A">
      <w:pPr>
        <w:rPr>
          <w:rFonts w:cs="Times New Roman"/>
          <w:sz w:val="26"/>
          <w:szCs w:val="26"/>
        </w:rPr>
      </w:pPr>
      <w:r>
        <w:rPr>
          <w:rFonts w:cs="Times New Roman"/>
          <w:sz w:val="26"/>
          <w:szCs w:val="26"/>
        </w:rPr>
        <w:t>Ir nepieciešams</w:t>
      </w:r>
      <w:r w:rsidR="00A22DBE" w:rsidRPr="0038447A">
        <w:rPr>
          <w:rFonts w:cs="Times New Roman"/>
          <w:sz w:val="26"/>
          <w:szCs w:val="26"/>
        </w:rPr>
        <w:t xml:space="preserve"> organizēt </w:t>
      </w:r>
      <w:r w:rsidR="003E54DF">
        <w:rPr>
          <w:rFonts w:cs="Times New Roman"/>
          <w:sz w:val="26"/>
          <w:szCs w:val="26"/>
        </w:rPr>
        <w:t xml:space="preserve">kopīgas </w:t>
      </w:r>
      <w:r w:rsidR="00A22DBE" w:rsidRPr="0038447A">
        <w:rPr>
          <w:rFonts w:cs="Times New Roman"/>
          <w:sz w:val="26"/>
          <w:szCs w:val="26"/>
        </w:rPr>
        <w:t xml:space="preserve">apmācības ar Biroja sadarbības iestādēm </w:t>
      </w:r>
      <w:r w:rsidR="00576D4A">
        <w:rPr>
          <w:rFonts w:cs="Times New Roman"/>
          <w:sz w:val="26"/>
          <w:szCs w:val="26"/>
        </w:rPr>
        <w:t xml:space="preserve">gan Latvijā, gan arī ārvalstu partneriem, īpaši </w:t>
      </w:r>
      <w:r w:rsidR="002C298A">
        <w:rPr>
          <w:rFonts w:cs="Times New Roman"/>
          <w:sz w:val="26"/>
          <w:szCs w:val="26"/>
        </w:rPr>
        <w:t xml:space="preserve">saistībā ar </w:t>
      </w:r>
      <w:r w:rsidR="00A22DBE" w:rsidRPr="0038447A">
        <w:rPr>
          <w:rFonts w:cs="Times New Roman"/>
          <w:sz w:val="26"/>
          <w:szCs w:val="26"/>
        </w:rPr>
        <w:t>noziedzīgi iegūtu līdzekļu legalizācijas aspektiem un riskiem, ārzonu uzņēmumu darbības specifiku un iespējamo starptautisko sadarbību, pārrobežu starptautisk</w:t>
      </w:r>
      <w:r w:rsidR="003E54DF">
        <w:rPr>
          <w:rFonts w:cs="Times New Roman"/>
          <w:sz w:val="26"/>
          <w:szCs w:val="26"/>
        </w:rPr>
        <w:t>aj</w:t>
      </w:r>
      <w:r w:rsidR="00A22DBE" w:rsidRPr="0038447A">
        <w:rPr>
          <w:rFonts w:cs="Times New Roman"/>
          <w:sz w:val="26"/>
          <w:szCs w:val="26"/>
        </w:rPr>
        <w:t xml:space="preserve">iem darījumiem un to shēmām, kā arī par starptautisko sadarbību ar tiesību aizsardzības iestādēm operatīvās darbības un </w:t>
      </w:r>
      <w:r w:rsidR="002C298A">
        <w:rPr>
          <w:rFonts w:cs="Times New Roman"/>
          <w:sz w:val="26"/>
          <w:szCs w:val="26"/>
        </w:rPr>
        <w:t>kriminālprocesa ietvaros u.c.</w:t>
      </w:r>
    </w:p>
    <w:p w14:paraId="42D0F3E5" w14:textId="77777777" w:rsidR="00F07342" w:rsidRPr="007E68E1" w:rsidRDefault="00F07342" w:rsidP="00F07342">
      <w:pPr>
        <w:pStyle w:val="NoSpacing"/>
        <w:rPr>
          <w:b w:val="0"/>
          <w:sz w:val="26"/>
          <w:szCs w:val="26"/>
        </w:rPr>
      </w:pPr>
    </w:p>
    <w:p w14:paraId="42D0F3E6" w14:textId="77777777" w:rsidR="003354DA" w:rsidRPr="0038447A" w:rsidRDefault="00A1107C" w:rsidP="005E247D">
      <w:pPr>
        <w:pStyle w:val="Heading2"/>
        <w:numPr>
          <w:ilvl w:val="2"/>
          <w:numId w:val="29"/>
        </w:numPr>
        <w:tabs>
          <w:tab w:val="left" w:pos="709"/>
          <w:tab w:val="left" w:pos="3402"/>
        </w:tabs>
        <w:ind w:left="0" w:firstLine="0"/>
        <w:rPr>
          <w:sz w:val="26"/>
        </w:rPr>
      </w:pPr>
      <w:bookmarkStart w:id="29" w:name="_Toc500150891"/>
      <w:r w:rsidRPr="0038447A">
        <w:rPr>
          <w:sz w:val="26"/>
        </w:rPr>
        <w:t>Darba vide</w:t>
      </w:r>
      <w:bookmarkEnd w:id="29"/>
    </w:p>
    <w:p w14:paraId="42D0F3E7" w14:textId="77777777" w:rsidR="002C298A" w:rsidRDefault="001144B0" w:rsidP="002C298A">
      <w:pPr>
        <w:ind w:firstLine="567"/>
        <w:rPr>
          <w:rFonts w:cs="Times New Roman"/>
          <w:sz w:val="26"/>
          <w:szCs w:val="26"/>
        </w:rPr>
      </w:pPr>
      <w:r w:rsidRPr="002C298A">
        <w:rPr>
          <w:rFonts w:cs="Times New Roman"/>
          <w:sz w:val="26"/>
          <w:szCs w:val="26"/>
        </w:rPr>
        <w:t>2018.gadā ir plānota Biroja darbības pārcelšan</w:t>
      </w:r>
      <w:r w:rsidR="009B1CB3" w:rsidRPr="002C298A">
        <w:rPr>
          <w:rFonts w:cs="Times New Roman"/>
          <w:sz w:val="26"/>
          <w:szCs w:val="26"/>
        </w:rPr>
        <w:t>a</w:t>
      </w:r>
      <w:r w:rsidRPr="002C298A">
        <w:rPr>
          <w:rFonts w:cs="Times New Roman"/>
          <w:sz w:val="26"/>
          <w:szCs w:val="26"/>
        </w:rPr>
        <w:t xml:space="preserve"> uz ēku </w:t>
      </w:r>
      <w:r w:rsidR="00CA6982" w:rsidRPr="002C298A">
        <w:rPr>
          <w:rFonts w:cs="Times New Roman"/>
          <w:sz w:val="26"/>
          <w:szCs w:val="26"/>
        </w:rPr>
        <w:t>Citadeles ielā 1, Rīgā</w:t>
      </w:r>
      <w:r w:rsidR="00097D4A" w:rsidRPr="002C298A">
        <w:rPr>
          <w:rFonts w:cs="Times New Roman"/>
          <w:sz w:val="26"/>
          <w:szCs w:val="26"/>
        </w:rPr>
        <w:t>.</w:t>
      </w:r>
      <w:r w:rsidR="003354DA" w:rsidRPr="002C298A">
        <w:rPr>
          <w:rFonts w:cs="Times New Roman"/>
          <w:sz w:val="26"/>
          <w:szCs w:val="26"/>
        </w:rPr>
        <w:t xml:space="preserve"> </w:t>
      </w:r>
      <w:r w:rsidR="00A43CBF" w:rsidRPr="002C298A">
        <w:rPr>
          <w:sz w:val="26"/>
          <w:szCs w:val="26"/>
        </w:rPr>
        <w:t xml:space="preserve">Ēku plānots pilnībā pielāgot Biroja darba vajadzībām un specifikai, nodrošinot </w:t>
      </w:r>
      <w:r w:rsidR="002C298A" w:rsidRPr="002C298A">
        <w:rPr>
          <w:sz w:val="26"/>
          <w:szCs w:val="26"/>
        </w:rPr>
        <w:t>prasībām atbilstošu darbu</w:t>
      </w:r>
      <w:r w:rsidR="00A43CBF" w:rsidRPr="002C298A">
        <w:rPr>
          <w:sz w:val="26"/>
          <w:szCs w:val="26"/>
        </w:rPr>
        <w:t xml:space="preserve"> ar valsts noslēpuma objektiem, kā arī uzlabojot dokumentu uzglabāšanas iespējas. </w:t>
      </w:r>
      <w:r w:rsidR="003354DA" w:rsidRPr="0038447A">
        <w:rPr>
          <w:rFonts w:cs="Times New Roman"/>
          <w:sz w:val="26"/>
          <w:szCs w:val="26"/>
        </w:rPr>
        <w:t xml:space="preserve">Ēkā </w:t>
      </w:r>
      <w:r w:rsidR="002C298A">
        <w:rPr>
          <w:rFonts w:cs="Times New Roman"/>
          <w:sz w:val="26"/>
          <w:szCs w:val="26"/>
        </w:rPr>
        <w:t xml:space="preserve">būs izveidota konferenču zāle, kas nodrošinās iespēju īstenot </w:t>
      </w:r>
      <w:r w:rsidR="00097D4A" w:rsidRPr="0038447A">
        <w:rPr>
          <w:rFonts w:cs="Times New Roman"/>
          <w:sz w:val="26"/>
          <w:szCs w:val="26"/>
        </w:rPr>
        <w:t>apmācības</w:t>
      </w:r>
      <w:r w:rsidR="00D70896" w:rsidRPr="0038447A">
        <w:rPr>
          <w:rFonts w:cs="Times New Roman"/>
          <w:sz w:val="26"/>
          <w:szCs w:val="26"/>
        </w:rPr>
        <w:t xml:space="preserve"> par</w:t>
      </w:r>
      <w:r w:rsidR="002C298A">
        <w:rPr>
          <w:rFonts w:cs="Times New Roman"/>
          <w:sz w:val="26"/>
          <w:szCs w:val="26"/>
        </w:rPr>
        <w:t xml:space="preserve"> pretkorupcijas jautājumiem plašākai auditorijai.</w:t>
      </w:r>
      <w:r w:rsidR="00D70896" w:rsidRPr="0038447A">
        <w:rPr>
          <w:rFonts w:cs="Times New Roman"/>
          <w:sz w:val="26"/>
          <w:szCs w:val="26"/>
        </w:rPr>
        <w:t xml:space="preserve"> </w:t>
      </w:r>
    </w:p>
    <w:p w14:paraId="42D0F3E8" w14:textId="77777777" w:rsidR="008F5449" w:rsidRDefault="008F5449" w:rsidP="008F5449">
      <w:pPr>
        <w:pStyle w:val="NoSpacing"/>
        <w:rPr>
          <w:sz w:val="26"/>
          <w:szCs w:val="26"/>
        </w:rPr>
      </w:pPr>
    </w:p>
    <w:p w14:paraId="42D0F3E9" w14:textId="77777777" w:rsidR="000C7316" w:rsidRPr="0038447A" w:rsidRDefault="009A2E92" w:rsidP="005E247D">
      <w:pPr>
        <w:pStyle w:val="Heading2"/>
        <w:numPr>
          <w:ilvl w:val="2"/>
          <w:numId w:val="29"/>
        </w:numPr>
        <w:ind w:left="0" w:firstLine="0"/>
        <w:rPr>
          <w:sz w:val="26"/>
        </w:rPr>
      </w:pPr>
      <w:bookmarkStart w:id="30" w:name="_Toc500150892"/>
      <w:r w:rsidRPr="0038447A">
        <w:rPr>
          <w:sz w:val="26"/>
        </w:rPr>
        <w:t>Informācijas aprite un drošība</w:t>
      </w:r>
      <w:bookmarkEnd w:id="30"/>
    </w:p>
    <w:p w14:paraId="42D0F3EA" w14:textId="77777777" w:rsidR="00DE6583" w:rsidRPr="0038447A" w:rsidRDefault="009A2E92" w:rsidP="00DE6583">
      <w:pPr>
        <w:rPr>
          <w:sz w:val="26"/>
          <w:szCs w:val="26"/>
        </w:rPr>
      </w:pPr>
      <w:r w:rsidRPr="002C298A">
        <w:rPr>
          <w:sz w:val="26"/>
          <w:szCs w:val="26"/>
        </w:rPr>
        <w:t xml:space="preserve">Birojā </w:t>
      </w:r>
      <w:r w:rsidR="00A40EAA">
        <w:rPr>
          <w:sz w:val="26"/>
          <w:szCs w:val="26"/>
        </w:rPr>
        <w:t>ieviesta</w:t>
      </w:r>
      <w:r w:rsidRPr="002C298A">
        <w:rPr>
          <w:sz w:val="26"/>
          <w:szCs w:val="26"/>
        </w:rPr>
        <w:t xml:space="preserve"> elektronisko dokumentu aprite </w:t>
      </w:r>
      <w:r w:rsidR="000C7316" w:rsidRPr="002C298A">
        <w:rPr>
          <w:sz w:val="26"/>
          <w:szCs w:val="26"/>
        </w:rPr>
        <w:t xml:space="preserve">gan sarakstei </w:t>
      </w:r>
      <w:r w:rsidR="007C189D" w:rsidRPr="002C298A">
        <w:rPr>
          <w:sz w:val="26"/>
          <w:szCs w:val="26"/>
        </w:rPr>
        <w:t xml:space="preserve">ar privātpersonām un valsts iestādēm, </w:t>
      </w:r>
      <w:r w:rsidR="000C7316" w:rsidRPr="002C298A">
        <w:rPr>
          <w:sz w:val="26"/>
          <w:szCs w:val="26"/>
        </w:rPr>
        <w:t>gan iekšējai doku</w:t>
      </w:r>
      <w:r w:rsidRPr="002C298A">
        <w:rPr>
          <w:sz w:val="26"/>
          <w:szCs w:val="26"/>
        </w:rPr>
        <w:t>m</w:t>
      </w:r>
      <w:r w:rsidR="000C7316" w:rsidRPr="002C298A">
        <w:rPr>
          <w:sz w:val="26"/>
          <w:szCs w:val="26"/>
        </w:rPr>
        <w:t>e</w:t>
      </w:r>
      <w:r w:rsidRPr="002C298A">
        <w:rPr>
          <w:sz w:val="26"/>
          <w:szCs w:val="26"/>
        </w:rPr>
        <w:t>ntu apritei, bet nepieciešams turpinā</w:t>
      </w:r>
      <w:r w:rsidR="000C7316" w:rsidRPr="002C298A">
        <w:rPr>
          <w:sz w:val="26"/>
          <w:szCs w:val="26"/>
        </w:rPr>
        <w:t>t</w:t>
      </w:r>
      <w:r w:rsidRPr="002C298A">
        <w:rPr>
          <w:sz w:val="26"/>
          <w:szCs w:val="26"/>
        </w:rPr>
        <w:t xml:space="preserve"> attīstību uzlabojot un vienkāršojot dokumentu aprites mehānismus. Lai sekotu līdzi program</w:t>
      </w:r>
      <w:r w:rsidR="000C7316" w:rsidRPr="002C298A">
        <w:rPr>
          <w:sz w:val="26"/>
          <w:szCs w:val="26"/>
        </w:rPr>
        <w:t>ma</w:t>
      </w:r>
      <w:r w:rsidRPr="002C298A">
        <w:rPr>
          <w:sz w:val="26"/>
          <w:szCs w:val="26"/>
        </w:rPr>
        <w:t>tūras un normatīvo dokumentu regulējumiem</w:t>
      </w:r>
      <w:r w:rsidR="00110527" w:rsidRPr="002C298A">
        <w:rPr>
          <w:sz w:val="26"/>
          <w:szCs w:val="26"/>
        </w:rPr>
        <w:t>,</w:t>
      </w:r>
      <w:r w:rsidRPr="002C298A">
        <w:rPr>
          <w:sz w:val="26"/>
          <w:szCs w:val="26"/>
        </w:rPr>
        <w:t xml:space="preserve"> elekt</w:t>
      </w:r>
      <w:r w:rsidR="000C7316" w:rsidRPr="002C298A">
        <w:rPr>
          <w:sz w:val="26"/>
          <w:szCs w:val="26"/>
        </w:rPr>
        <w:t>ro</w:t>
      </w:r>
      <w:r w:rsidRPr="002C298A">
        <w:rPr>
          <w:sz w:val="26"/>
          <w:szCs w:val="26"/>
        </w:rPr>
        <w:t>nisko dokumentu aprites programmatūra jāveido elastīga</w:t>
      </w:r>
      <w:r w:rsidR="007668EC" w:rsidRPr="002C298A">
        <w:rPr>
          <w:sz w:val="26"/>
          <w:szCs w:val="26"/>
        </w:rPr>
        <w:t>,</w:t>
      </w:r>
      <w:r w:rsidRPr="002C298A">
        <w:rPr>
          <w:sz w:val="26"/>
          <w:szCs w:val="26"/>
        </w:rPr>
        <w:t xml:space="preserve"> nepazeminot dr</w:t>
      </w:r>
      <w:r w:rsidR="000C7316" w:rsidRPr="002C298A">
        <w:rPr>
          <w:sz w:val="26"/>
          <w:szCs w:val="26"/>
        </w:rPr>
        <w:t>ošības līmeni.</w:t>
      </w:r>
    </w:p>
    <w:p w14:paraId="42D0F3EB" w14:textId="77777777" w:rsidR="00DE6583" w:rsidRPr="0038447A" w:rsidRDefault="000C7316" w:rsidP="00DE6583">
      <w:pPr>
        <w:rPr>
          <w:sz w:val="26"/>
          <w:szCs w:val="26"/>
        </w:rPr>
      </w:pPr>
      <w:r w:rsidRPr="0038447A">
        <w:rPr>
          <w:sz w:val="26"/>
          <w:szCs w:val="26"/>
        </w:rPr>
        <w:t>Palie</w:t>
      </w:r>
      <w:r w:rsidR="009A2E92" w:rsidRPr="0038447A">
        <w:rPr>
          <w:sz w:val="26"/>
          <w:szCs w:val="26"/>
        </w:rPr>
        <w:t>linoties informācijas apjomam un tās dažādībai, kā arī lielam apjoma</w:t>
      </w:r>
      <w:r w:rsidR="00110527" w:rsidRPr="0038447A">
        <w:rPr>
          <w:sz w:val="26"/>
          <w:szCs w:val="26"/>
        </w:rPr>
        <w:t>m</w:t>
      </w:r>
      <w:r w:rsidR="009A2E92" w:rsidRPr="0038447A">
        <w:rPr>
          <w:sz w:val="26"/>
          <w:szCs w:val="26"/>
        </w:rPr>
        <w:t xml:space="preserve"> nestrukturētu datu</w:t>
      </w:r>
      <w:r w:rsidR="00110527" w:rsidRPr="0038447A">
        <w:rPr>
          <w:sz w:val="26"/>
          <w:szCs w:val="26"/>
        </w:rPr>
        <w:t>,</w:t>
      </w:r>
      <w:r w:rsidR="009A2E92" w:rsidRPr="0038447A">
        <w:rPr>
          <w:sz w:val="26"/>
          <w:szCs w:val="26"/>
        </w:rPr>
        <w:t xml:space="preserve"> nepieciešams veidot atbilstošu informācijas aiz</w:t>
      </w:r>
      <w:r w:rsidRPr="0038447A">
        <w:rPr>
          <w:sz w:val="26"/>
          <w:szCs w:val="26"/>
        </w:rPr>
        <w:t>s</w:t>
      </w:r>
      <w:r w:rsidR="00132F08">
        <w:rPr>
          <w:sz w:val="26"/>
          <w:szCs w:val="26"/>
        </w:rPr>
        <w:t>ardzību un uzraudzību</w:t>
      </w:r>
      <w:r w:rsidR="009A2E92" w:rsidRPr="0038447A">
        <w:rPr>
          <w:sz w:val="26"/>
          <w:szCs w:val="26"/>
        </w:rPr>
        <w:t>. Informācijas aizsardzības nolūkos jāsamazina ārējo datu nesēju lietošanas apjoms, nodrošinot drošu datu apmaiņu lietotājiem savā starpā un ar in</w:t>
      </w:r>
      <w:r w:rsidR="00DE6583" w:rsidRPr="0038447A">
        <w:rPr>
          <w:sz w:val="26"/>
          <w:szCs w:val="26"/>
        </w:rPr>
        <w:t>formācijas sistēmām.</w:t>
      </w:r>
    </w:p>
    <w:p w14:paraId="42D0F3EC" w14:textId="77777777" w:rsidR="00DE6583" w:rsidRPr="0038447A" w:rsidRDefault="009A2E92" w:rsidP="00DE6583">
      <w:pPr>
        <w:rPr>
          <w:sz w:val="26"/>
          <w:szCs w:val="26"/>
        </w:rPr>
      </w:pPr>
      <w:r w:rsidRPr="00132F08">
        <w:rPr>
          <w:sz w:val="26"/>
          <w:szCs w:val="26"/>
        </w:rPr>
        <w:t>Palielinoties programmatūras un iekārtu</w:t>
      </w:r>
      <w:r w:rsidR="002705F6">
        <w:rPr>
          <w:sz w:val="26"/>
          <w:szCs w:val="26"/>
        </w:rPr>
        <w:t>,</w:t>
      </w:r>
      <w:r w:rsidRPr="00132F08">
        <w:rPr>
          <w:sz w:val="26"/>
          <w:szCs w:val="26"/>
        </w:rPr>
        <w:t xml:space="preserve"> kā arī pakalpoj</w:t>
      </w:r>
      <w:r w:rsidR="000C7316" w:rsidRPr="00132F08">
        <w:rPr>
          <w:sz w:val="26"/>
          <w:szCs w:val="26"/>
        </w:rPr>
        <w:t>umu dažādībai, nepieciešams izs</w:t>
      </w:r>
      <w:r w:rsidRPr="00132F08">
        <w:rPr>
          <w:sz w:val="26"/>
          <w:szCs w:val="26"/>
        </w:rPr>
        <w:t>t</w:t>
      </w:r>
      <w:r w:rsidR="000C7316" w:rsidRPr="00132F08">
        <w:rPr>
          <w:sz w:val="26"/>
          <w:szCs w:val="26"/>
        </w:rPr>
        <w:t>r</w:t>
      </w:r>
      <w:r w:rsidRPr="00132F08">
        <w:rPr>
          <w:sz w:val="26"/>
          <w:szCs w:val="26"/>
        </w:rPr>
        <w:t>ādāt lietojuma un funkciju novērtējumu, kas būtu ņemams vērā pie produkta izmantošanas turpināšanas vai nodrošinot pamatu tā aizstāša</w:t>
      </w:r>
      <w:r w:rsidR="000C7316" w:rsidRPr="00132F08">
        <w:rPr>
          <w:sz w:val="26"/>
          <w:szCs w:val="26"/>
        </w:rPr>
        <w:t>nai ar citu. Lai iegādātais produkts tiktu pienāc</w:t>
      </w:r>
      <w:r w:rsidRPr="00132F08">
        <w:rPr>
          <w:sz w:val="26"/>
          <w:szCs w:val="26"/>
        </w:rPr>
        <w:t>īgi izmantots</w:t>
      </w:r>
      <w:r w:rsidR="00110527" w:rsidRPr="00132F08">
        <w:rPr>
          <w:sz w:val="26"/>
          <w:szCs w:val="26"/>
        </w:rPr>
        <w:t>,</w:t>
      </w:r>
      <w:r w:rsidRPr="00132F08">
        <w:rPr>
          <w:sz w:val="26"/>
          <w:szCs w:val="26"/>
        </w:rPr>
        <w:t xml:space="preserve"> n</w:t>
      </w:r>
      <w:r w:rsidR="000C7316" w:rsidRPr="00132F08">
        <w:rPr>
          <w:sz w:val="26"/>
          <w:szCs w:val="26"/>
        </w:rPr>
        <w:t>epieciešams veikt atbildīgā per</w:t>
      </w:r>
      <w:r w:rsidRPr="00132F08">
        <w:rPr>
          <w:sz w:val="26"/>
          <w:szCs w:val="26"/>
        </w:rPr>
        <w:t>s</w:t>
      </w:r>
      <w:r w:rsidR="000C7316" w:rsidRPr="00132F08">
        <w:rPr>
          <w:sz w:val="26"/>
          <w:szCs w:val="26"/>
        </w:rPr>
        <w:t>o</w:t>
      </w:r>
      <w:r w:rsidR="00DE6583" w:rsidRPr="00132F08">
        <w:rPr>
          <w:sz w:val="26"/>
          <w:szCs w:val="26"/>
        </w:rPr>
        <w:t>nāla apmācību.</w:t>
      </w:r>
    </w:p>
    <w:p w14:paraId="42D0F3ED" w14:textId="77777777" w:rsidR="00132F08" w:rsidRDefault="009A2E92" w:rsidP="00DE6583">
      <w:pPr>
        <w:rPr>
          <w:sz w:val="26"/>
          <w:szCs w:val="26"/>
        </w:rPr>
      </w:pPr>
      <w:r w:rsidRPr="0038447A">
        <w:rPr>
          <w:sz w:val="26"/>
          <w:szCs w:val="26"/>
        </w:rPr>
        <w:t>Birojs veiksmīgi sadarbojas ar vairākām iestādēm</w:t>
      </w:r>
      <w:r w:rsidR="00110527" w:rsidRPr="0038447A">
        <w:rPr>
          <w:sz w:val="26"/>
          <w:szCs w:val="26"/>
        </w:rPr>
        <w:t>,</w:t>
      </w:r>
      <w:r w:rsidRPr="0038447A">
        <w:rPr>
          <w:sz w:val="26"/>
          <w:szCs w:val="26"/>
        </w:rPr>
        <w:t xml:space="preserve"> tomēr ne vienm</w:t>
      </w:r>
      <w:r w:rsidR="00430E63" w:rsidRPr="0038447A">
        <w:rPr>
          <w:sz w:val="26"/>
          <w:szCs w:val="26"/>
        </w:rPr>
        <w:t>ēr izdod</w:t>
      </w:r>
      <w:r w:rsidRPr="0038447A">
        <w:rPr>
          <w:sz w:val="26"/>
          <w:szCs w:val="26"/>
        </w:rPr>
        <w:t xml:space="preserve">as iegūt nepieciešamo informāciju pietiekamā apjomā vai laikā. </w:t>
      </w:r>
      <w:r w:rsidR="002705F6">
        <w:rPr>
          <w:sz w:val="26"/>
          <w:szCs w:val="26"/>
        </w:rPr>
        <w:t>Ņemot vērā to, ka</w:t>
      </w:r>
      <w:r w:rsidRPr="0038447A">
        <w:rPr>
          <w:sz w:val="26"/>
          <w:szCs w:val="26"/>
        </w:rPr>
        <w:t xml:space="preserve"> efektīvākais veids informācijas apmaiņai ir elektroniskā vide, nepieciešams veicināt drošu informācijas apmaiņu ar citiem informācijas avotiem, veidojot vienotu informācijas i</w:t>
      </w:r>
      <w:r w:rsidR="00066FC3" w:rsidRPr="0038447A">
        <w:rPr>
          <w:sz w:val="26"/>
          <w:szCs w:val="26"/>
        </w:rPr>
        <w:t>egūšanas un analīzes platformu.</w:t>
      </w:r>
      <w:r w:rsidR="007C189D" w:rsidRPr="0038447A">
        <w:rPr>
          <w:sz w:val="26"/>
          <w:szCs w:val="26"/>
        </w:rPr>
        <w:t xml:space="preserve"> Ievērojot minēto</w:t>
      </w:r>
      <w:r w:rsidR="004C3C7F">
        <w:rPr>
          <w:sz w:val="26"/>
          <w:szCs w:val="26"/>
        </w:rPr>
        <w:t>,</w:t>
      </w:r>
      <w:r w:rsidR="007C189D" w:rsidRPr="0038447A">
        <w:rPr>
          <w:sz w:val="26"/>
          <w:szCs w:val="26"/>
        </w:rPr>
        <w:t xml:space="preserve"> Birojs ir uzsācis</w:t>
      </w:r>
      <w:r w:rsidR="00132F08">
        <w:rPr>
          <w:sz w:val="26"/>
          <w:szCs w:val="26"/>
        </w:rPr>
        <w:t xml:space="preserve"> jauna</w:t>
      </w:r>
      <w:r w:rsidR="004F525C">
        <w:rPr>
          <w:sz w:val="26"/>
          <w:szCs w:val="26"/>
        </w:rPr>
        <w:t>s lietvedības sistēmas ieviešanas procesu</w:t>
      </w:r>
      <w:r w:rsidR="00132F08">
        <w:rPr>
          <w:sz w:val="26"/>
          <w:szCs w:val="26"/>
        </w:rPr>
        <w:t>.</w:t>
      </w:r>
      <w:r w:rsidR="007C189D" w:rsidRPr="0038447A">
        <w:rPr>
          <w:sz w:val="26"/>
          <w:szCs w:val="26"/>
        </w:rPr>
        <w:t xml:space="preserve"> </w:t>
      </w:r>
    </w:p>
    <w:p w14:paraId="42D0F3EE" w14:textId="77777777" w:rsidR="005515B7" w:rsidRDefault="005515B7" w:rsidP="00A26FD1">
      <w:pPr>
        <w:pStyle w:val="NoSpacing"/>
        <w:jc w:val="both"/>
        <w:rPr>
          <w:sz w:val="26"/>
          <w:szCs w:val="26"/>
        </w:rPr>
      </w:pPr>
    </w:p>
    <w:p w14:paraId="42D0F3EF" w14:textId="77777777" w:rsidR="00646120" w:rsidRPr="0038447A" w:rsidRDefault="00A1107C" w:rsidP="005E247D">
      <w:pPr>
        <w:pStyle w:val="Heading2"/>
        <w:numPr>
          <w:ilvl w:val="2"/>
          <w:numId w:val="29"/>
        </w:numPr>
        <w:ind w:left="0" w:firstLine="0"/>
        <w:rPr>
          <w:sz w:val="26"/>
        </w:rPr>
      </w:pPr>
      <w:bookmarkStart w:id="31" w:name="_Toc500150893"/>
      <w:r w:rsidRPr="0038447A">
        <w:rPr>
          <w:sz w:val="26"/>
        </w:rPr>
        <w:t>Biroja organizatoriskās struktūras un iekšējie procesi</w:t>
      </w:r>
      <w:bookmarkEnd w:id="31"/>
    </w:p>
    <w:p w14:paraId="42D0F3F0" w14:textId="77777777" w:rsidR="00646120" w:rsidRPr="0038447A" w:rsidRDefault="00646120" w:rsidP="00066FC3">
      <w:pPr>
        <w:pStyle w:val="NormalWeb"/>
        <w:spacing w:before="0" w:beforeAutospacing="0" w:after="0" w:afterAutospacing="0"/>
        <w:jc w:val="both"/>
        <w:rPr>
          <w:sz w:val="26"/>
          <w:szCs w:val="26"/>
        </w:rPr>
      </w:pPr>
      <w:r w:rsidRPr="0038447A">
        <w:rPr>
          <w:sz w:val="26"/>
          <w:szCs w:val="26"/>
        </w:rPr>
        <w:tab/>
      </w:r>
      <w:r w:rsidR="00430E63" w:rsidRPr="0038447A">
        <w:rPr>
          <w:sz w:val="26"/>
          <w:szCs w:val="26"/>
        </w:rPr>
        <w:t>Biroja</w:t>
      </w:r>
      <w:r w:rsidRPr="0038447A">
        <w:rPr>
          <w:sz w:val="26"/>
          <w:szCs w:val="26"/>
        </w:rPr>
        <w:t xml:space="preserve"> darbu vada </w:t>
      </w:r>
      <w:r w:rsidR="00430E63" w:rsidRPr="0038447A">
        <w:rPr>
          <w:sz w:val="26"/>
          <w:szCs w:val="26"/>
        </w:rPr>
        <w:t>Biroja</w:t>
      </w:r>
      <w:r w:rsidRPr="0038447A">
        <w:rPr>
          <w:sz w:val="26"/>
          <w:szCs w:val="26"/>
        </w:rPr>
        <w:t xml:space="preserve"> priekšnieks, kuru ieceļ amatā uz pieciem gadiem un atbrīvo no amata Saeima pēc Ministru kabineta </w:t>
      </w:r>
      <w:r w:rsidRPr="00132F08">
        <w:rPr>
          <w:sz w:val="26"/>
          <w:szCs w:val="26"/>
        </w:rPr>
        <w:t>ieteikuma</w:t>
      </w:r>
      <w:r w:rsidRPr="0038447A">
        <w:rPr>
          <w:sz w:val="26"/>
          <w:szCs w:val="26"/>
        </w:rPr>
        <w:t>.</w:t>
      </w:r>
    </w:p>
    <w:p w14:paraId="42D0F3F1" w14:textId="77777777" w:rsidR="00646120" w:rsidRPr="0038447A" w:rsidRDefault="00430E63" w:rsidP="00066FC3">
      <w:pPr>
        <w:rPr>
          <w:rFonts w:eastAsia="Times New Roman" w:cs="Times New Roman"/>
          <w:sz w:val="26"/>
          <w:szCs w:val="26"/>
          <w:lang w:eastAsia="lv-LV"/>
        </w:rPr>
      </w:pPr>
      <w:r w:rsidRPr="0038447A">
        <w:rPr>
          <w:rFonts w:eastAsia="Times New Roman" w:cs="Times New Roman"/>
          <w:sz w:val="26"/>
          <w:szCs w:val="26"/>
          <w:lang w:eastAsia="lv-LV"/>
        </w:rPr>
        <w:lastRenderedPageBreak/>
        <w:t>Biroja</w:t>
      </w:r>
      <w:r w:rsidR="00646120" w:rsidRPr="0038447A">
        <w:rPr>
          <w:rFonts w:eastAsia="Times New Roman" w:cs="Times New Roman"/>
          <w:sz w:val="26"/>
          <w:szCs w:val="26"/>
          <w:lang w:eastAsia="lv-LV"/>
        </w:rPr>
        <w:t xml:space="preserve"> priekšnieks ir atbildīgs par </w:t>
      </w:r>
      <w:r w:rsidRPr="0038447A">
        <w:rPr>
          <w:rFonts w:eastAsia="Times New Roman" w:cs="Times New Roman"/>
          <w:sz w:val="26"/>
          <w:szCs w:val="26"/>
          <w:lang w:eastAsia="lv-LV"/>
        </w:rPr>
        <w:t>Biroja</w:t>
      </w:r>
      <w:r w:rsidR="00646120" w:rsidRPr="0038447A">
        <w:rPr>
          <w:rFonts w:eastAsia="Times New Roman" w:cs="Times New Roman"/>
          <w:sz w:val="26"/>
          <w:szCs w:val="26"/>
          <w:lang w:eastAsia="lv-LV"/>
        </w:rPr>
        <w:t xml:space="preserve"> noteikto funkciju izpildi, izlemj jautājumu par lietu izskatīšanas un lēmumu pieņemšanas piekritību, nosaka amatpersonu un darbinieku pienākumus, tiesības un uzdevumus, kā arī apstiprina </w:t>
      </w:r>
      <w:r w:rsidRPr="0038447A">
        <w:rPr>
          <w:rFonts w:eastAsia="Times New Roman" w:cs="Times New Roman"/>
          <w:sz w:val="26"/>
          <w:szCs w:val="26"/>
          <w:lang w:eastAsia="lv-LV"/>
        </w:rPr>
        <w:t>Biroja</w:t>
      </w:r>
      <w:r w:rsidR="00646120" w:rsidRPr="0038447A">
        <w:rPr>
          <w:rFonts w:eastAsia="Times New Roman" w:cs="Times New Roman"/>
          <w:sz w:val="26"/>
          <w:szCs w:val="26"/>
          <w:lang w:eastAsia="lv-LV"/>
        </w:rPr>
        <w:t xml:space="preserve"> darbību reglamentējošos iekšējos normatīvos aktus un iesniedz Ministru kabinetā nepieciešamo valsts budžeta līdzekļu pieprasījuma projektu.</w:t>
      </w:r>
    </w:p>
    <w:p w14:paraId="42D0F3F2" w14:textId="77777777" w:rsidR="00646120" w:rsidRPr="0038447A" w:rsidRDefault="00430E63" w:rsidP="00066FC3">
      <w:pPr>
        <w:rPr>
          <w:rFonts w:eastAsia="Times New Roman" w:cs="Times New Roman"/>
          <w:sz w:val="26"/>
          <w:szCs w:val="26"/>
          <w:lang w:eastAsia="lv-LV"/>
        </w:rPr>
      </w:pPr>
      <w:r w:rsidRPr="0038447A">
        <w:rPr>
          <w:rFonts w:eastAsia="Times New Roman" w:cs="Times New Roman"/>
          <w:sz w:val="26"/>
          <w:szCs w:val="26"/>
          <w:lang w:eastAsia="lv-LV"/>
        </w:rPr>
        <w:t>Biroja</w:t>
      </w:r>
      <w:r w:rsidR="00646120" w:rsidRPr="0038447A">
        <w:rPr>
          <w:rFonts w:eastAsia="Times New Roman" w:cs="Times New Roman"/>
          <w:sz w:val="26"/>
          <w:szCs w:val="26"/>
          <w:lang w:eastAsia="lv-LV"/>
        </w:rPr>
        <w:t xml:space="preserve"> priekšniekam ir divi vietnieki </w:t>
      </w:r>
      <w:r w:rsidR="00BC2F07" w:rsidRPr="0038447A">
        <w:rPr>
          <w:rFonts w:eastAsia="Times New Roman" w:cs="Times New Roman"/>
          <w:sz w:val="26"/>
          <w:szCs w:val="26"/>
          <w:lang w:eastAsia="lv-LV"/>
        </w:rPr>
        <w:t>–</w:t>
      </w:r>
      <w:r w:rsidR="00646120" w:rsidRPr="0038447A">
        <w:rPr>
          <w:rFonts w:eastAsia="Times New Roman" w:cs="Times New Roman"/>
          <w:sz w:val="26"/>
          <w:szCs w:val="26"/>
          <w:lang w:eastAsia="lv-LV"/>
        </w:rPr>
        <w:t xml:space="preserve"> vietnieks korupcijas novēršanas jautājumos un vietnieks korupcijas apkarošanas jautājumos.</w:t>
      </w:r>
    </w:p>
    <w:p w14:paraId="42D0F3F3" w14:textId="77777777" w:rsidR="00646120" w:rsidRDefault="00430E63" w:rsidP="00430E63">
      <w:pPr>
        <w:rPr>
          <w:rFonts w:eastAsia="Times New Roman" w:cs="Times New Roman"/>
          <w:sz w:val="26"/>
          <w:szCs w:val="26"/>
          <w:lang w:eastAsia="lv-LV"/>
        </w:rPr>
      </w:pPr>
      <w:r w:rsidRPr="0038447A">
        <w:rPr>
          <w:rFonts w:eastAsia="Times New Roman" w:cs="Times New Roman"/>
          <w:sz w:val="26"/>
          <w:szCs w:val="26"/>
          <w:lang w:eastAsia="lv-LV"/>
        </w:rPr>
        <w:t>Biroja</w:t>
      </w:r>
      <w:r w:rsidR="00646120" w:rsidRPr="0038447A">
        <w:rPr>
          <w:rFonts w:eastAsia="Times New Roman" w:cs="Times New Roman"/>
          <w:sz w:val="26"/>
          <w:szCs w:val="26"/>
          <w:lang w:eastAsia="lv-LV"/>
        </w:rPr>
        <w:t xml:space="preserve"> </w:t>
      </w:r>
      <w:r w:rsidR="007C40D2">
        <w:rPr>
          <w:rFonts w:eastAsia="Times New Roman" w:cs="Times New Roman"/>
          <w:sz w:val="26"/>
          <w:szCs w:val="26"/>
          <w:lang w:eastAsia="lv-LV"/>
        </w:rPr>
        <w:t>kopējais štat</w:t>
      </w:r>
      <w:r w:rsidR="00A3258A">
        <w:rPr>
          <w:rFonts w:eastAsia="Times New Roman" w:cs="Times New Roman"/>
          <w:sz w:val="26"/>
          <w:szCs w:val="26"/>
          <w:lang w:eastAsia="lv-LV"/>
        </w:rPr>
        <w:t>s</w:t>
      </w:r>
      <w:r w:rsidR="007C40D2">
        <w:rPr>
          <w:rFonts w:eastAsia="Times New Roman" w:cs="Times New Roman"/>
          <w:sz w:val="26"/>
          <w:szCs w:val="26"/>
          <w:lang w:eastAsia="lv-LV"/>
        </w:rPr>
        <w:t xml:space="preserve"> ir 150 amat</w:t>
      </w:r>
      <w:r w:rsidR="00A3258A">
        <w:rPr>
          <w:rFonts w:eastAsia="Times New Roman" w:cs="Times New Roman"/>
          <w:sz w:val="26"/>
          <w:szCs w:val="26"/>
          <w:lang w:eastAsia="lv-LV"/>
        </w:rPr>
        <w:t>a</w:t>
      </w:r>
      <w:r w:rsidR="007C40D2">
        <w:rPr>
          <w:rFonts w:eastAsia="Times New Roman" w:cs="Times New Roman"/>
          <w:sz w:val="26"/>
          <w:szCs w:val="26"/>
          <w:lang w:eastAsia="lv-LV"/>
        </w:rPr>
        <w:t xml:space="preserve"> vietas, no kurām</w:t>
      </w:r>
      <w:r w:rsidR="003E4FD6">
        <w:rPr>
          <w:rFonts w:eastAsia="Times New Roman" w:cs="Times New Roman"/>
          <w:sz w:val="26"/>
          <w:szCs w:val="26"/>
          <w:lang w:eastAsia="lv-LV"/>
        </w:rPr>
        <w:t xml:space="preserve"> </w:t>
      </w:r>
      <w:r w:rsidR="003E4288" w:rsidRPr="0038447A">
        <w:rPr>
          <w:rFonts w:eastAsia="Times New Roman" w:cs="Times New Roman"/>
          <w:sz w:val="26"/>
          <w:szCs w:val="26"/>
          <w:lang w:eastAsia="lv-LV"/>
        </w:rPr>
        <w:t xml:space="preserve">2017.gada </w:t>
      </w:r>
      <w:r w:rsidR="00F07342">
        <w:rPr>
          <w:rFonts w:eastAsia="Times New Roman" w:cs="Times New Roman"/>
          <w:sz w:val="26"/>
          <w:szCs w:val="26"/>
          <w:lang w:eastAsia="lv-LV"/>
        </w:rPr>
        <w:t>15</w:t>
      </w:r>
      <w:r w:rsidR="003E4288" w:rsidRPr="0038447A">
        <w:rPr>
          <w:rFonts w:eastAsia="Times New Roman" w:cs="Times New Roman"/>
          <w:sz w:val="26"/>
          <w:szCs w:val="26"/>
          <w:lang w:eastAsia="lv-LV"/>
        </w:rPr>
        <w:t>.</w:t>
      </w:r>
      <w:r w:rsidR="007C40D2">
        <w:rPr>
          <w:rFonts w:eastAsia="Times New Roman" w:cs="Times New Roman"/>
          <w:sz w:val="26"/>
          <w:szCs w:val="26"/>
          <w:lang w:eastAsia="lv-LV"/>
        </w:rPr>
        <w:t>decembr</w:t>
      </w:r>
      <w:r w:rsidR="00A3258A">
        <w:rPr>
          <w:rFonts w:eastAsia="Times New Roman" w:cs="Times New Roman"/>
          <w:sz w:val="26"/>
          <w:szCs w:val="26"/>
          <w:lang w:eastAsia="lv-LV"/>
        </w:rPr>
        <w:t>ī</w:t>
      </w:r>
      <w:r w:rsidR="007C40D2">
        <w:rPr>
          <w:rFonts w:eastAsia="Times New Roman" w:cs="Times New Roman"/>
          <w:sz w:val="26"/>
          <w:szCs w:val="26"/>
          <w:lang w:eastAsia="lv-LV"/>
        </w:rPr>
        <w:t xml:space="preserve"> </w:t>
      </w:r>
      <w:r w:rsidR="003E4288" w:rsidRPr="0038447A">
        <w:rPr>
          <w:rFonts w:eastAsia="Times New Roman" w:cs="Times New Roman"/>
          <w:sz w:val="26"/>
          <w:szCs w:val="26"/>
          <w:lang w:eastAsia="lv-LV"/>
        </w:rPr>
        <w:t xml:space="preserve">ir </w:t>
      </w:r>
      <w:r w:rsidR="007C40D2">
        <w:rPr>
          <w:rFonts w:eastAsia="Times New Roman" w:cs="Times New Roman"/>
          <w:sz w:val="26"/>
          <w:szCs w:val="26"/>
          <w:lang w:eastAsia="lv-LV"/>
        </w:rPr>
        <w:t xml:space="preserve">aizpildītas </w:t>
      </w:r>
      <w:r w:rsidR="0071124B" w:rsidRPr="0038447A">
        <w:rPr>
          <w:rFonts w:eastAsia="Times New Roman" w:cs="Times New Roman"/>
          <w:color w:val="000000" w:themeColor="text1"/>
          <w:sz w:val="26"/>
          <w:szCs w:val="26"/>
          <w:lang w:eastAsia="lv-LV"/>
        </w:rPr>
        <w:t>12</w:t>
      </w:r>
      <w:r w:rsidR="00F07342">
        <w:rPr>
          <w:rFonts w:eastAsia="Times New Roman" w:cs="Times New Roman"/>
          <w:color w:val="000000" w:themeColor="text1"/>
          <w:sz w:val="26"/>
          <w:szCs w:val="26"/>
          <w:lang w:eastAsia="lv-LV"/>
        </w:rPr>
        <w:t>5</w:t>
      </w:r>
      <w:r w:rsidRPr="0038447A">
        <w:rPr>
          <w:rFonts w:eastAsia="Times New Roman" w:cs="Times New Roman"/>
          <w:sz w:val="26"/>
          <w:szCs w:val="26"/>
          <w:lang w:eastAsia="lv-LV"/>
        </w:rPr>
        <w:t>. Biroja</w:t>
      </w:r>
      <w:r w:rsidR="00646120" w:rsidRPr="0038447A">
        <w:rPr>
          <w:rFonts w:eastAsia="Times New Roman" w:cs="Times New Roman"/>
          <w:sz w:val="26"/>
          <w:szCs w:val="26"/>
          <w:lang w:eastAsia="lv-LV"/>
        </w:rPr>
        <w:t xml:space="preserve"> struktūru un darba organizāciju nosaka </w:t>
      </w:r>
      <w:r w:rsidR="00374676" w:rsidRPr="0038447A">
        <w:rPr>
          <w:rFonts w:eastAsia="Times New Roman" w:cs="Times New Roman"/>
          <w:sz w:val="26"/>
          <w:szCs w:val="26"/>
          <w:lang w:eastAsia="lv-LV"/>
        </w:rPr>
        <w:t xml:space="preserve">Biroja </w:t>
      </w:r>
      <w:hyperlink r:id="rId9" w:tgtFrame="_blank" w:history="1">
        <w:r w:rsidR="00646120" w:rsidRPr="0038447A">
          <w:rPr>
            <w:rFonts w:eastAsia="Times New Roman" w:cs="Times New Roman"/>
            <w:sz w:val="26"/>
            <w:szCs w:val="26"/>
            <w:lang w:eastAsia="lv-LV"/>
          </w:rPr>
          <w:t>reglaments</w:t>
        </w:r>
      </w:hyperlink>
      <w:r w:rsidR="00646120" w:rsidRPr="0038447A">
        <w:rPr>
          <w:rFonts w:eastAsia="Times New Roman" w:cs="Times New Roman"/>
          <w:sz w:val="26"/>
          <w:szCs w:val="26"/>
          <w:lang w:eastAsia="lv-LV"/>
        </w:rPr>
        <w:t>.</w:t>
      </w:r>
    </w:p>
    <w:p w14:paraId="42D0F3F4" w14:textId="77777777" w:rsidR="00AE16FE" w:rsidRPr="00AE16FE" w:rsidRDefault="00AE16FE" w:rsidP="00AE16FE">
      <w:pPr>
        <w:pStyle w:val="NoSpacing"/>
        <w:rPr>
          <w:lang w:eastAsia="lv-LV"/>
        </w:rPr>
      </w:pPr>
    </w:p>
    <w:p w14:paraId="42D0F3F5" w14:textId="77777777" w:rsidR="00B05E40" w:rsidRPr="0038447A" w:rsidRDefault="008606B5" w:rsidP="00B05E40">
      <w:pPr>
        <w:pStyle w:val="NoSpacing"/>
        <w:rPr>
          <w:sz w:val="26"/>
          <w:szCs w:val="26"/>
          <w:lang w:eastAsia="lv-LV"/>
        </w:rPr>
      </w:pPr>
      <w:r w:rsidRPr="0038447A">
        <w:rPr>
          <w:noProof/>
          <w:sz w:val="26"/>
          <w:szCs w:val="26"/>
          <w:lang w:eastAsia="lv-LV"/>
        </w:rPr>
        <w:drawing>
          <wp:inline distT="0" distB="0" distL="0" distR="0" wp14:anchorId="42D0F421" wp14:editId="42D0F422">
            <wp:extent cx="5519840" cy="3124862"/>
            <wp:effectExtent l="0" t="0" r="5080" b="0"/>
            <wp:docPr id="4" name="Picture 4" descr="struktura_lv_2017_2.jpg (69,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ktura_lv_2017_2.jpg (69,79 K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1830" cy="3125988"/>
                    </a:xfrm>
                    <a:prstGeom prst="rect">
                      <a:avLst/>
                    </a:prstGeom>
                    <a:noFill/>
                    <a:ln>
                      <a:noFill/>
                    </a:ln>
                  </pic:spPr>
                </pic:pic>
              </a:graphicData>
            </a:graphic>
          </wp:inline>
        </w:drawing>
      </w:r>
    </w:p>
    <w:p w14:paraId="42D0F3F6" w14:textId="77777777" w:rsidR="00B05E40" w:rsidRPr="0038447A" w:rsidRDefault="00DE6583" w:rsidP="00B05E40">
      <w:pPr>
        <w:pStyle w:val="NoSpacing"/>
        <w:rPr>
          <w:b w:val="0"/>
          <w:i/>
          <w:sz w:val="26"/>
          <w:szCs w:val="26"/>
          <w:lang w:eastAsia="lv-LV"/>
        </w:rPr>
      </w:pPr>
      <w:r w:rsidRPr="0038447A">
        <w:rPr>
          <w:b w:val="0"/>
          <w:i/>
          <w:sz w:val="26"/>
          <w:szCs w:val="26"/>
          <w:lang w:eastAsia="lv-LV"/>
        </w:rPr>
        <w:t>1.attēls</w:t>
      </w:r>
      <w:r w:rsidR="00132F08">
        <w:rPr>
          <w:b w:val="0"/>
          <w:i/>
          <w:sz w:val="26"/>
          <w:szCs w:val="26"/>
          <w:lang w:eastAsia="lv-LV"/>
        </w:rPr>
        <w:t>. Biroja struktūra.</w:t>
      </w:r>
    </w:p>
    <w:p w14:paraId="42D0F3F7" w14:textId="77777777" w:rsidR="00646120" w:rsidRPr="0038447A" w:rsidRDefault="00646120" w:rsidP="00646120">
      <w:pPr>
        <w:pStyle w:val="NoSpacing"/>
        <w:tabs>
          <w:tab w:val="left" w:pos="795"/>
        </w:tabs>
        <w:jc w:val="both"/>
        <w:rPr>
          <w:sz w:val="26"/>
          <w:szCs w:val="26"/>
        </w:rPr>
      </w:pPr>
    </w:p>
    <w:p w14:paraId="42D0F3F8" w14:textId="77777777" w:rsidR="006D4E04" w:rsidRPr="0038447A" w:rsidRDefault="006D4E04" w:rsidP="00A1107C">
      <w:pPr>
        <w:rPr>
          <w:sz w:val="26"/>
          <w:szCs w:val="26"/>
        </w:rPr>
      </w:pPr>
      <w:r w:rsidRPr="0038447A">
        <w:rPr>
          <w:sz w:val="26"/>
          <w:szCs w:val="26"/>
        </w:rPr>
        <w:br w:type="page"/>
      </w:r>
    </w:p>
    <w:p w14:paraId="42D0F3F9" w14:textId="77777777" w:rsidR="006D4E04" w:rsidRPr="0038447A" w:rsidRDefault="00DE2B80" w:rsidP="00E6250F">
      <w:pPr>
        <w:pStyle w:val="Heading1"/>
        <w:numPr>
          <w:ilvl w:val="0"/>
          <w:numId w:val="29"/>
        </w:numPr>
        <w:ind w:left="0" w:firstLine="0"/>
        <w:rPr>
          <w:sz w:val="26"/>
          <w:szCs w:val="26"/>
        </w:rPr>
      </w:pPr>
      <w:bookmarkStart w:id="32" w:name="_Toc500150894"/>
      <w:r w:rsidRPr="0038447A">
        <w:rPr>
          <w:sz w:val="26"/>
          <w:szCs w:val="26"/>
        </w:rPr>
        <w:lastRenderedPageBreak/>
        <w:t>VALSTS BUDŽETA PROGRAMMAS</w:t>
      </w:r>
      <w:bookmarkEnd w:id="32"/>
      <w:r w:rsidRPr="0038447A">
        <w:rPr>
          <w:sz w:val="26"/>
          <w:szCs w:val="26"/>
        </w:rPr>
        <w:t xml:space="preserve"> </w:t>
      </w:r>
    </w:p>
    <w:p w14:paraId="42D0F3FA" w14:textId="77777777" w:rsidR="005D3F00" w:rsidRPr="0038447A" w:rsidRDefault="000A003F" w:rsidP="00A556D9">
      <w:pPr>
        <w:jc w:val="right"/>
        <w:rPr>
          <w:i/>
          <w:sz w:val="26"/>
          <w:szCs w:val="26"/>
        </w:rPr>
      </w:pPr>
      <w:r>
        <w:rPr>
          <w:i/>
          <w:sz w:val="26"/>
          <w:szCs w:val="26"/>
        </w:rPr>
        <w:t>7</w:t>
      </w:r>
      <w:r w:rsidR="00A556D9" w:rsidRPr="0038447A">
        <w:rPr>
          <w:i/>
          <w:sz w:val="26"/>
          <w:szCs w:val="26"/>
        </w:rPr>
        <w:t>.tabula</w:t>
      </w:r>
    </w:p>
    <w:tbl>
      <w:tblPr>
        <w:tblStyle w:val="TableGrid"/>
        <w:tblW w:w="9181" w:type="dxa"/>
        <w:tblLook w:val="04A0" w:firstRow="1" w:lastRow="0" w:firstColumn="1" w:lastColumn="0" w:noHBand="0" w:noVBand="1"/>
      </w:tblPr>
      <w:tblGrid>
        <w:gridCol w:w="1610"/>
        <w:gridCol w:w="4310"/>
        <w:gridCol w:w="1701"/>
        <w:gridCol w:w="1560"/>
      </w:tblGrid>
      <w:tr w:rsidR="00E6060B" w:rsidRPr="0038447A" w14:paraId="42D0F3FE" w14:textId="77777777" w:rsidTr="00AE16FE">
        <w:tc>
          <w:tcPr>
            <w:tcW w:w="5920" w:type="dxa"/>
            <w:gridSpan w:val="2"/>
            <w:vAlign w:val="center"/>
          </w:tcPr>
          <w:p w14:paraId="42D0F3FB" w14:textId="77777777" w:rsidR="00E6060B" w:rsidRPr="00E6060B" w:rsidRDefault="00E6060B" w:rsidP="00530AD0">
            <w:pPr>
              <w:ind w:firstLine="0"/>
              <w:jc w:val="center"/>
              <w:rPr>
                <w:b/>
                <w:sz w:val="26"/>
                <w:szCs w:val="26"/>
              </w:rPr>
            </w:pPr>
            <w:r w:rsidRPr="00E6060B">
              <w:rPr>
                <w:b/>
                <w:sz w:val="26"/>
                <w:szCs w:val="26"/>
              </w:rPr>
              <w:t>Valsts budžeta programmas</w:t>
            </w:r>
          </w:p>
        </w:tc>
        <w:tc>
          <w:tcPr>
            <w:tcW w:w="1701" w:type="dxa"/>
          </w:tcPr>
          <w:p w14:paraId="42D0F3FC" w14:textId="77777777" w:rsidR="00E6060B" w:rsidRPr="00E6060B" w:rsidRDefault="00E6060B" w:rsidP="005D3F00">
            <w:pPr>
              <w:ind w:firstLine="0"/>
              <w:jc w:val="center"/>
              <w:rPr>
                <w:b/>
                <w:sz w:val="26"/>
                <w:szCs w:val="26"/>
              </w:rPr>
            </w:pPr>
            <w:r w:rsidRPr="00E6060B">
              <w:rPr>
                <w:b/>
                <w:sz w:val="26"/>
                <w:szCs w:val="26"/>
              </w:rPr>
              <w:t>2018.gads (EUR)</w:t>
            </w:r>
          </w:p>
        </w:tc>
        <w:tc>
          <w:tcPr>
            <w:tcW w:w="1560" w:type="dxa"/>
          </w:tcPr>
          <w:p w14:paraId="42D0F3FD" w14:textId="77777777" w:rsidR="00E6060B" w:rsidRPr="00E6060B" w:rsidRDefault="00E6060B" w:rsidP="005D3F00">
            <w:pPr>
              <w:ind w:firstLine="0"/>
              <w:jc w:val="center"/>
              <w:rPr>
                <w:b/>
                <w:sz w:val="26"/>
                <w:szCs w:val="26"/>
              </w:rPr>
            </w:pPr>
            <w:r w:rsidRPr="00E6060B">
              <w:rPr>
                <w:b/>
                <w:sz w:val="26"/>
                <w:szCs w:val="26"/>
              </w:rPr>
              <w:t>2019.gads (EUR)</w:t>
            </w:r>
          </w:p>
        </w:tc>
      </w:tr>
      <w:tr w:rsidR="00E6060B" w:rsidRPr="0038447A" w14:paraId="42D0F403" w14:textId="77777777" w:rsidTr="00AE16FE">
        <w:tc>
          <w:tcPr>
            <w:tcW w:w="1610" w:type="dxa"/>
          </w:tcPr>
          <w:p w14:paraId="42D0F3FF" w14:textId="77777777" w:rsidR="00E6060B" w:rsidRPr="0038447A" w:rsidRDefault="00E6060B" w:rsidP="005D3F00">
            <w:pPr>
              <w:ind w:firstLine="0"/>
              <w:rPr>
                <w:sz w:val="26"/>
                <w:szCs w:val="26"/>
              </w:rPr>
            </w:pPr>
            <w:r w:rsidRPr="0038447A">
              <w:rPr>
                <w:sz w:val="26"/>
                <w:szCs w:val="26"/>
              </w:rPr>
              <w:t>1.programma</w:t>
            </w:r>
          </w:p>
        </w:tc>
        <w:tc>
          <w:tcPr>
            <w:tcW w:w="4310" w:type="dxa"/>
          </w:tcPr>
          <w:p w14:paraId="42D0F400" w14:textId="77777777" w:rsidR="00E6060B" w:rsidRPr="0038447A" w:rsidRDefault="00E6060B" w:rsidP="00AE16FE">
            <w:pPr>
              <w:ind w:firstLine="0"/>
              <w:jc w:val="left"/>
              <w:rPr>
                <w:sz w:val="26"/>
                <w:szCs w:val="26"/>
              </w:rPr>
            </w:pPr>
            <w:r w:rsidRPr="0038447A">
              <w:rPr>
                <w:sz w:val="26"/>
                <w:szCs w:val="26"/>
              </w:rPr>
              <w:t>Korupcijas novēršanas un apkarošanas birojs</w:t>
            </w:r>
          </w:p>
        </w:tc>
        <w:tc>
          <w:tcPr>
            <w:tcW w:w="1701" w:type="dxa"/>
          </w:tcPr>
          <w:p w14:paraId="42D0F401" w14:textId="77777777" w:rsidR="00E6060B" w:rsidRPr="0038447A" w:rsidRDefault="00E6060B" w:rsidP="005D3F00">
            <w:pPr>
              <w:ind w:firstLine="0"/>
              <w:jc w:val="right"/>
              <w:rPr>
                <w:sz w:val="26"/>
                <w:szCs w:val="26"/>
              </w:rPr>
            </w:pPr>
            <w:r>
              <w:rPr>
                <w:sz w:val="26"/>
                <w:szCs w:val="26"/>
              </w:rPr>
              <w:t>5 786 326</w:t>
            </w:r>
          </w:p>
        </w:tc>
        <w:tc>
          <w:tcPr>
            <w:tcW w:w="1560" w:type="dxa"/>
          </w:tcPr>
          <w:p w14:paraId="42D0F402" w14:textId="77777777" w:rsidR="00E6060B" w:rsidRPr="0038447A" w:rsidRDefault="00E6060B" w:rsidP="005D3F00">
            <w:pPr>
              <w:ind w:firstLine="0"/>
              <w:jc w:val="right"/>
              <w:rPr>
                <w:sz w:val="26"/>
                <w:szCs w:val="26"/>
              </w:rPr>
            </w:pPr>
            <w:r>
              <w:rPr>
                <w:sz w:val="26"/>
                <w:szCs w:val="26"/>
              </w:rPr>
              <w:t>5 807 967</w:t>
            </w:r>
          </w:p>
        </w:tc>
      </w:tr>
      <w:tr w:rsidR="00E6060B" w:rsidRPr="0038447A" w14:paraId="42D0F408" w14:textId="77777777" w:rsidTr="00AE16FE">
        <w:tc>
          <w:tcPr>
            <w:tcW w:w="1610" w:type="dxa"/>
          </w:tcPr>
          <w:p w14:paraId="42D0F404" w14:textId="77777777" w:rsidR="00E6060B" w:rsidRPr="0038447A" w:rsidRDefault="00E6060B" w:rsidP="005D3F00">
            <w:pPr>
              <w:ind w:firstLine="0"/>
              <w:rPr>
                <w:sz w:val="26"/>
                <w:szCs w:val="26"/>
              </w:rPr>
            </w:pPr>
            <w:r w:rsidRPr="0038447A">
              <w:rPr>
                <w:sz w:val="26"/>
                <w:szCs w:val="26"/>
              </w:rPr>
              <w:t>2.programma</w:t>
            </w:r>
          </w:p>
        </w:tc>
        <w:tc>
          <w:tcPr>
            <w:tcW w:w="4310" w:type="dxa"/>
          </w:tcPr>
          <w:p w14:paraId="42D0F405" w14:textId="77777777" w:rsidR="00E6060B" w:rsidRPr="0038447A" w:rsidRDefault="00E6060B" w:rsidP="00AE16FE">
            <w:pPr>
              <w:ind w:firstLine="0"/>
              <w:jc w:val="left"/>
              <w:rPr>
                <w:sz w:val="26"/>
                <w:szCs w:val="26"/>
              </w:rPr>
            </w:pPr>
            <w:r w:rsidRPr="0038447A">
              <w:rPr>
                <w:sz w:val="26"/>
                <w:szCs w:val="26"/>
              </w:rPr>
              <w:t>Operatīvās darbības pasākumu nodrošināšana</w:t>
            </w:r>
          </w:p>
        </w:tc>
        <w:tc>
          <w:tcPr>
            <w:tcW w:w="1701" w:type="dxa"/>
          </w:tcPr>
          <w:p w14:paraId="42D0F406" w14:textId="77777777" w:rsidR="00E6060B" w:rsidRPr="0038447A" w:rsidRDefault="00E6060B" w:rsidP="005D3F00">
            <w:pPr>
              <w:ind w:firstLine="0"/>
              <w:jc w:val="right"/>
              <w:rPr>
                <w:sz w:val="26"/>
                <w:szCs w:val="26"/>
              </w:rPr>
            </w:pPr>
            <w:r w:rsidRPr="0038447A">
              <w:rPr>
                <w:sz w:val="26"/>
                <w:szCs w:val="26"/>
              </w:rPr>
              <w:t>53 140</w:t>
            </w:r>
          </w:p>
        </w:tc>
        <w:tc>
          <w:tcPr>
            <w:tcW w:w="1560" w:type="dxa"/>
          </w:tcPr>
          <w:p w14:paraId="42D0F407" w14:textId="77777777" w:rsidR="00E6060B" w:rsidRPr="0038447A" w:rsidRDefault="00E6060B" w:rsidP="005D3F00">
            <w:pPr>
              <w:ind w:firstLine="0"/>
              <w:jc w:val="right"/>
              <w:rPr>
                <w:sz w:val="26"/>
                <w:szCs w:val="26"/>
              </w:rPr>
            </w:pPr>
            <w:r w:rsidRPr="0038447A">
              <w:rPr>
                <w:sz w:val="26"/>
                <w:szCs w:val="26"/>
              </w:rPr>
              <w:t>53 140</w:t>
            </w:r>
          </w:p>
        </w:tc>
      </w:tr>
      <w:tr w:rsidR="00E6060B" w:rsidRPr="0038447A" w14:paraId="42D0F40C" w14:textId="77777777" w:rsidTr="00AE16FE">
        <w:tc>
          <w:tcPr>
            <w:tcW w:w="5920" w:type="dxa"/>
            <w:gridSpan w:val="2"/>
          </w:tcPr>
          <w:p w14:paraId="42D0F409" w14:textId="77777777" w:rsidR="00E6060B" w:rsidRPr="0038447A" w:rsidRDefault="00E6060B" w:rsidP="00A556D9">
            <w:pPr>
              <w:ind w:firstLine="0"/>
              <w:rPr>
                <w:b/>
                <w:sz w:val="26"/>
                <w:szCs w:val="26"/>
              </w:rPr>
            </w:pPr>
            <w:r w:rsidRPr="0038447A">
              <w:rPr>
                <w:b/>
                <w:sz w:val="26"/>
                <w:szCs w:val="26"/>
              </w:rPr>
              <w:t>Kopā budžets</w:t>
            </w:r>
          </w:p>
        </w:tc>
        <w:tc>
          <w:tcPr>
            <w:tcW w:w="1701" w:type="dxa"/>
          </w:tcPr>
          <w:p w14:paraId="42D0F40A" w14:textId="77777777" w:rsidR="00E6060B" w:rsidRPr="0038447A" w:rsidRDefault="00E6060B" w:rsidP="005D3F00">
            <w:pPr>
              <w:ind w:firstLine="0"/>
              <w:jc w:val="right"/>
              <w:rPr>
                <w:b/>
                <w:sz w:val="26"/>
                <w:szCs w:val="26"/>
              </w:rPr>
            </w:pPr>
            <w:r>
              <w:rPr>
                <w:b/>
                <w:sz w:val="26"/>
                <w:szCs w:val="26"/>
              </w:rPr>
              <w:t>5 839 466</w:t>
            </w:r>
          </w:p>
        </w:tc>
        <w:tc>
          <w:tcPr>
            <w:tcW w:w="1560" w:type="dxa"/>
          </w:tcPr>
          <w:p w14:paraId="42D0F40B" w14:textId="77777777" w:rsidR="00E6060B" w:rsidRPr="0038447A" w:rsidRDefault="00E6060B" w:rsidP="005D3F00">
            <w:pPr>
              <w:ind w:firstLine="0"/>
              <w:jc w:val="right"/>
              <w:rPr>
                <w:b/>
                <w:sz w:val="26"/>
                <w:szCs w:val="26"/>
              </w:rPr>
            </w:pPr>
            <w:r>
              <w:rPr>
                <w:b/>
                <w:sz w:val="26"/>
                <w:szCs w:val="26"/>
              </w:rPr>
              <w:t>5 861 107</w:t>
            </w:r>
          </w:p>
        </w:tc>
      </w:tr>
      <w:tr w:rsidR="00E6060B" w:rsidRPr="0038447A" w14:paraId="42D0F410" w14:textId="77777777" w:rsidTr="00AE16FE">
        <w:tc>
          <w:tcPr>
            <w:tcW w:w="5920" w:type="dxa"/>
            <w:gridSpan w:val="2"/>
          </w:tcPr>
          <w:p w14:paraId="42D0F40D" w14:textId="77777777" w:rsidR="00E6060B" w:rsidRPr="0038447A" w:rsidRDefault="00E6060B" w:rsidP="00A556D9">
            <w:pPr>
              <w:ind w:firstLine="0"/>
              <w:rPr>
                <w:b/>
                <w:sz w:val="26"/>
                <w:szCs w:val="26"/>
              </w:rPr>
            </w:pPr>
            <w:r w:rsidRPr="0038447A">
              <w:rPr>
                <w:b/>
                <w:sz w:val="26"/>
                <w:szCs w:val="26"/>
              </w:rPr>
              <w:t>Plānoto amata vietu skaits</w:t>
            </w:r>
          </w:p>
        </w:tc>
        <w:tc>
          <w:tcPr>
            <w:tcW w:w="1701" w:type="dxa"/>
          </w:tcPr>
          <w:p w14:paraId="42D0F40E" w14:textId="77777777" w:rsidR="00E6060B" w:rsidRPr="0038447A" w:rsidRDefault="00E6060B" w:rsidP="005D3F00">
            <w:pPr>
              <w:ind w:firstLine="0"/>
              <w:jc w:val="right"/>
              <w:rPr>
                <w:b/>
                <w:sz w:val="26"/>
                <w:szCs w:val="26"/>
              </w:rPr>
            </w:pPr>
            <w:r w:rsidRPr="0038447A">
              <w:rPr>
                <w:b/>
                <w:sz w:val="26"/>
                <w:szCs w:val="26"/>
              </w:rPr>
              <w:t>150</w:t>
            </w:r>
          </w:p>
        </w:tc>
        <w:tc>
          <w:tcPr>
            <w:tcW w:w="1560" w:type="dxa"/>
          </w:tcPr>
          <w:p w14:paraId="42D0F40F" w14:textId="77777777" w:rsidR="00E6060B" w:rsidRPr="0038447A" w:rsidRDefault="00E6060B" w:rsidP="005D3F00">
            <w:pPr>
              <w:ind w:firstLine="0"/>
              <w:jc w:val="right"/>
              <w:rPr>
                <w:b/>
                <w:sz w:val="26"/>
                <w:szCs w:val="26"/>
              </w:rPr>
            </w:pPr>
            <w:r w:rsidRPr="0038447A">
              <w:rPr>
                <w:b/>
                <w:sz w:val="26"/>
                <w:szCs w:val="26"/>
              </w:rPr>
              <w:t>150</w:t>
            </w:r>
          </w:p>
        </w:tc>
      </w:tr>
    </w:tbl>
    <w:p w14:paraId="42D0F411" w14:textId="77777777" w:rsidR="005D3F00" w:rsidRPr="0038447A" w:rsidRDefault="005D3F00" w:rsidP="005D3F00">
      <w:pPr>
        <w:rPr>
          <w:sz w:val="26"/>
          <w:szCs w:val="26"/>
        </w:rPr>
      </w:pPr>
    </w:p>
    <w:p w14:paraId="42D0F412" w14:textId="77777777" w:rsidR="00562F9D" w:rsidRPr="0038447A" w:rsidRDefault="00562F9D" w:rsidP="00562F9D">
      <w:pPr>
        <w:pStyle w:val="NoSpacing"/>
        <w:rPr>
          <w:sz w:val="26"/>
          <w:szCs w:val="26"/>
        </w:rPr>
      </w:pPr>
    </w:p>
    <w:p w14:paraId="42D0F413" w14:textId="77777777" w:rsidR="00562F9D" w:rsidRPr="0038447A" w:rsidRDefault="00562F9D" w:rsidP="00562F9D">
      <w:pPr>
        <w:pStyle w:val="NoSpacing"/>
        <w:rPr>
          <w:sz w:val="26"/>
          <w:szCs w:val="26"/>
        </w:rPr>
      </w:pPr>
    </w:p>
    <w:p w14:paraId="42D0F414" w14:textId="77777777" w:rsidR="00562F9D" w:rsidRPr="0038447A" w:rsidRDefault="00562F9D" w:rsidP="00562F9D">
      <w:pPr>
        <w:pStyle w:val="NoSpacing"/>
        <w:rPr>
          <w:sz w:val="26"/>
          <w:szCs w:val="26"/>
        </w:rPr>
      </w:pPr>
    </w:p>
    <w:p w14:paraId="42D0F415" w14:textId="77777777" w:rsidR="00562F9D" w:rsidRPr="0038447A" w:rsidRDefault="00562F9D" w:rsidP="00562F9D">
      <w:pPr>
        <w:pStyle w:val="NoSpacing"/>
        <w:tabs>
          <w:tab w:val="left" w:pos="6867"/>
        </w:tabs>
        <w:jc w:val="left"/>
        <w:rPr>
          <w:b w:val="0"/>
          <w:sz w:val="26"/>
          <w:szCs w:val="26"/>
        </w:rPr>
      </w:pPr>
      <w:r w:rsidRPr="0038447A">
        <w:rPr>
          <w:b w:val="0"/>
          <w:sz w:val="26"/>
          <w:szCs w:val="26"/>
        </w:rPr>
        <w:t>Korupcijas novēršanas un</w:t>
      </w:r>
      <w:r w:rsidRPr="0038447A">
        <w:rPr>
          <w:b w:val="0"/>
          <w:sz w:val="26"/>
          <w:szCs w:val="26"/>
        </w:rPr>
        <w:tab/>
      </w:r>
    </w:p>
    <w:p w14:paraId="42D0F416" w14:textId="4208E953" w:rsidR="00562F9D" w:rsidRPr="0038447A" w:rsidRDefault="005E247D" w:rsidP="00562F9D">
      <w:pPr>
        <w:pStyle w:val="NoSpacing"/>
        <w:jc w:val="left"/>
        <w:rPr>
          <w:b w:val="0"/>
          <w:sz w:val="26"/>
          <w:szCs w:val="26"/>
        </w:rPr>
      </w:pPr>
      <w:r w:rsidRPr="0038447A">
        <w:rPr>
          <w:b w:val="0"/>
          <w:sz w:val="26"/>
          <w:szCs w:val="26"/>
        </w:rPr>
        <w:t>apkarošanas bi</w:t>
      </w:r>
      <w:r w:rsidR="00AE16FE">
        <w:rPr>
          <w:b w:val="0"/>
          <w:sz w:val="26"/>
          <w:szCs w:val="26"/>
        </w:rPr>
        <w:t>roja priekšnieks</w:t>
      </w:r>
      <w:r w:rsidR="00AE16FE">
        <w:rPr>
          <w:b w:val="0"/>
          <w:sz w:val="26"/>
          <w:szCs w:val="26"/>
        </w:rPr>
        <w:tab/>
      </w:r>
      <w:r w:rsidR="00AE16FE">
        <w:rPr>
          <w:b w:val="0"/>
          <w:sz w:val="26"/>
          <w:szCs w:val="26"/>
        </w:rPr>
        <w:tab/>
      </w:r>
      <w:r w:rsidR="00AE16FE">
        <w:rPr>
          <w:b w:val="0"/>
          <w:sz w:val="26"/>
          <w:szCs w:val="26"/>
        </w:rPr>
        <w:tab/>
      </w:r>
      <w:r w:rsidR="00AE16FE">
        <w:rPr>
          <w:b w:val="0"/>
          <w:sz w:val="26"/>
          <w:szCs w:val="26"/>
        </w:rPr>
        <w:tab/>
      </w:r>
      <w:r w:rsidR="00AE16FE">
        <w:rPr>
          <w:b w:val="0"/>
          <w:sz w:val="26"/>
          <w:szCs w:val="26"/>
        </w:rPr>
        <w:tab/>
      </w:r>
      <w:r w:rsidR="00AE16FE">
        <w:rPr>
          <w:b w:val="0"/>
          <w:sz w:val="26"/>
          <w:szCs w:val="26"/>
        </w:rPr>
        <w:tab/>
      </w:r>
      <w:r w:rsidRPr="0038447A">
        <w:rPr>
          <w:b w:val="0"/>
          <w:sz w:val="26"/>
          <w:szCs w:val="26"/>
        </w:rPr>
        <w:t>Jēkabs Straume</w:t>
      </w:r>
    </w:p>
    <w:p w14:paraId="42D0F417" w14:textId="77777777" w:rsidR="00562F9D" w:rsidRPr="0038447A" w:rsidRDefault="00562F9D" w:rsidP="00562F9D">
      <w:pPr>
        <w:pStyle w:val="NoSpacing"/>
        <w:rPr>
          <w:sz w:val="26"/>
          <w:szCs w:val="26"/>
        </w:rPr>
      </w:pPr>
    </w:p>
    <w:p w14:paraId="42D0F418" w14:textId="77777777" w:rsidR="00562F9D" w:rsidRPr="0038447A" w:rsidRDefault="00562F9D" w:rsidP="00562F9D">
      <w:pPr>
        <w:pStyle w:val="NoSpacing"/>
        <w:rPr>
          <w:sz w:val="26"/>
          <w:szCs w:val="26"/>
        </w:rPr>
      </w:pPr>
    </w:p>
    <w:p w14:paraId="42D0F419" w14:textId="77777777" w:rsidR="00562F9D" w:rsidRPr="0038447A" w:rsidRDefault="00562F9D" w:rsidP="00562F9D">
      <w:pPr>
        <w:pStyle w:val="NoSpacing"/>
        <w:rPr>
          <w:sz w:val="26"/>
          <w:szCs w:val="26"/>
        </w:rPr>
      </w:pPr>
    </w:p>
    <w:p w14:paraId="42D0F41A" w14:textId="77777777" w:rsidR="00562F9D" w:rsidRPr="0038447A" w:rsidRDefault="00562F9D" w:rsidP="00562F9D">
      <w:pPr>
        <w:pStyle w:val="NoSpacing"/>
        <w:rPr>
          <w:sz w:val="26"/>
          <w:szCs w:val="26"/>
        </w:rPr>
      </w:pPr>
    </w:p>
    <w:p w14:paraId="42D0F41B" w14:textId="77777777" w:rsidR="00562F9D" w:rsidRPr="0038447A" w:rsidRDefault="00562F9D" w:rsidP="00562F9D">
      <w:pPr>
        <w:pStyle w:val="NoSpacing"/>
        <w:rPr>
          <w:sz w:val="26"/>
          <w:szCs w:val="26"/>
        </w:rPr>
      </w:pPr>
    </w:p>
    <w:p w14:paraId="42D0F41C" w14:textId="77777777" w:rsidR="00F4291F" w:rsidRPr="0038447A" w:rsidRDefault="00F4291F" w:rsidP="00562F9D">
      <w:pPr>
        <w:pStyle w:val="NoSpacing"/>
        <w:rPr>
          <w:sz w:val="26"/>
          <w:szCs w:val="26"/>
        </w:rPr>
      </w:pPr>
    </w:p>
    <w:p w14:paraId="42D0F41D" w14:textId="77777777" w:rsidR="00F4291F" w:rsidRPr="0038447A" w:rsidRDefault="00F4291F" w:rsidP="00562F9D">
      <w:pPr>
        <w:pStyle w:val="NoSpacing"/>
        <w:rPr>
          <w:sz w:val="26"/>
          <w:szCs w:val="26"/>
        </w:rPr>
      </w:pPr>
    </w:p>
    <w:p w14:paraId="42D0F41E" w14:textId="77777777" w:rsidR="00562F9D" w:rsidRPr="0038447A" w:rsidRDefault="00562F9D" w:rsidP="00562F9D">
      <w:pPr>
        <w:pStyle w:val="NoSpacing"/>
        <w:rPr>
          <w:sz w:val="26"/>
          <w:szCs w:val="26"/>
        </w:rPr>
      </w:pPr>
    </w:p>
    <w:p w14:paraId="42D0F41F" w14:textId="77777777" w:rsidR="00562F9D" w:rsidRPr="0038447A" w:rsidRDefault="00562F9D" w:rsidP="00562F9D">
      <w:pPr>
        <w:pStyle w:val="NoSpacing"/>
        <w:rPr>
          <w:sz w:val="26"/>
          <w:szCs w:val="26"/>
        </w:rPr>
      </w:pPr>
    </w:p>
    <w:p w14:paraId="42D0F420" w14:textId="77777777" w:rsidR="00562F9D" w:rsidRPr="0038447A" w:rsidRDefault="00562F9D" w:rsidP="00562F9D">
      <w:pPr>
        <w:pStyle w:val="NoSpacing"/>
        <w:jc w:val="left"/>
        <w:rPr>
          <w:b w:val="0"/>
          <w:sz w:val="26"/>
          <w:szCs w:val="26"/>
        </w:rPr>
      </w:pPr>
    </w:p>
    <w:sectPr w:rsidR="00562F9D" w:rsidRPr="0038447A" w:rsidSect="00F47FAD">
      <w:headerReference w:type="default" r:id="rId11"/>
      <w:footerReference w:type="default" r:id="rId12"/>
      <w:headerReference w:type="first" r:id="rId13"/>
      <w:footerReference w:type="first" r:id="rId14"/>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0F425" w14:textId="77777777" w:rsidR="00A25AE9" w:rsidRDefault="00A25AE9" w:rsidP="00E13421">
      <w:r>
        <w:separator/>
      </w:r>
    </w:p>
  </w:endnote>
  <w:endnote w:type="continuationSeparator" w:id="0">
    <w:p w14:paraId="42D0F426" w14:textId="77777777" w:rsidR="00A25AE9" w:rsidRDefault="00A25AE9" w:rsidP="00E1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Casl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D0BAB" w14:textId="60A35A23" w:rsidR="004F4040" w:rsidRPr="00CF62D8" w:rsidRDefault="00CF62D8" w:rsidP="00CF62D8">
    <w:pPr>
      <w:pStyle w:val="Footer"/>
      <w:ind w:firstLine="0"/>
      <w:rPr>
        <w:sz w:val="16"/>
      </w:rPr>
    </w:pPr>
    <w:r w:rsidRPr="004F4040">
      <w:rPr>
        <w:sz w:val="16"/>
      </w:rPr>
      <w:t>(TA-</w:t>
    </w:r>
    <w:r>
      <w:rPr>
        <w:sz w:val="16"/>
      </w:rPr>
      <w:t>155</w:t>
    </w:r>
    <w:r w:rsidRPr="004F4040">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8AE8E" w14:textId="2A726920" w:rsidR="004F4040" w:rsidRPr="004F4040" w:rsidRDefault="004F4040" w:rsidP="004F4040">
    <w:pPr>
      <w:pStyle w:val="Footer"/>
      <w:ind w:firstLine="0"/>
      <w:rPr>
        <w:sz w:val="16"/>
      </w:rPr>
    </w:pPr>
    <w:r w:rsidRPr="004F4040">
      <w:rPr>
        <w:sz w:val="16"/>
      </w:rPr>
      <w:t>(TA-</w:t>
    </w:r>
    <w:r w:rsidR="00CF62D8">
      <w:rPr>
        <w:sz w:val="16"/>
      </w:rPr>
      <w:t>155</w:t>
    </w:r>
    <w:r w:rsidRPr="004F4040">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0F423" w14:textId="77777777" w:rsidR="00A25AE9" w:rsidRDefault="00A25AE9" w:rsidP="00E13421">
      <w:r>
        <w:separator/>
      </w:r>
    </w:p>
  </w:footnote>
  <w:footnote w:type="continuationSeparator" w:id="0">
    <w:p w14:paraId="42D0F424" w14:textId="77777777" w:rsidR="00A25AE9" w:rsidRDefault="00A25AE9" w:rsidP="00E13421">
      <w:r>
        <w:continuationSeparator/>
      </w:r>
    </w:p>
  </w:footnote>
  <w:footnote w:id="1">
    <w:p w14:paraId="42D0F429" w14:textId="77777777" w:rsidR="00F37AC9" w:rsidRDefault="00F37AC9" w:rsidP="00CC2EA2">
      <w:pPr>
        <w:pStyle w:val="FootnoteText"/>
        <w:ind w:firstLine="0"/>
      </w:pPr>
      <w:r>
        <w:rPr>
          <w:rStyle w:val="FootnoteReference"/>
        </w:rPr>
        <w:footnoteRef/>
      </w:r>
      <w:r>
        <w:t xml:space="preserve"> Saskaņā ar Korupcijas novēršanas un apkarošanas biroja likuma 7.panta pirmās daļas 1.puntku Birojs izstrādā korupcijas novēršanas un apkarošanas stratēģiju un valsts programmu, kuru apstiprina Ministru kabinets.</w:t>
      </w:r>
    </w:p>
  </w:footnote>
  <w:footnote w:id="2">
    <w:p w14:paraId="42D0F42A" w14:textId="77777777" w:rsidR="00F37AC9" w:rsidRDefault="00F37AC9" w:rsidP="00646C98">
      <w:pPr>
        <w:pStyle w:val="FootnoteText"/>
        <w:ind w:firstLine="0"/>
      </w:pPr>
      <w:r>
        <w:rPr>
          <w:rStyle w:val="FootnoteReference"/>
        </w:rPr>
        <w:footnoteRef/>
      </w:r>
      <w:r>
        <w:t xml:space="preserve"> </w:t>
      </w:r>
      <w:r>
        <w:t>2016.gada aptauja “</w:t>
      </w:r>
      <w:r>
        <w:rPr>
          <w:rFonts w:cs="Times New Roman"/>
          <w:bCs/>
        </w:rPr>
        <w:t xml:space="preserve">Attieksme pret korupciju Latvijā” </w:t>
      </w:r>
      <w:r w:rsidRPr="00C92F85">
        <w:rPr>
          <w:rFonts w:cs="Times New Roman"/>
          <w:bCs/>
        </w:rPr>
        <w:t>(</w:t>
      </w:r>
      <w:r>
        <w:t>pasūtītājs – Birojs, aptaujas veicējs – SKDS</w:t>
      </w:r>
      <w:r w:rsidRPr="00C92F85">
        <w:rPr>
          <w:rFonts w:cs="Times New Roman"/>
          <w:bCs/>
        </w:rPr>
        <w:t>)</w:t>
      </w:r>
    </w:p>
    <w:p w14:paraId="42D0F42B" w14:textId="77777777" w:rsidR="00F37AC9" w:rsidRDefault="00F37AC9" w:rsidP="004B23CE">
      <w:pPr>
        <w:pStyle w:val="FootnoteText"/>
        <w:ind w:firstLine="0"/>
      </w:pPr>
    </w:p>
  </w:footnote>
  <w:footnote w:id="3">
    <w:p w14:paraId="42D0F42C" w14:textId="77777777" w:rsidR="00F37AC9" w:rsidRDefault="00F37AC9" w:rsidP="00C92F85">
      <w:pPr>
        <w:pStyle w:val="FootnoteText"/>
        <w:ind w:firstLine="0"/>
      </w:pPr>
      <w:r>
        <w:rPr>
          <w:rStyle w:val="FootnoteReference"/>
        </w:rPr>
        <w:footnoteRef/>
      </w:r>
      <w:r>
        <w:t xml:space="preserve"> </w:t>
      </w:r>
      <w:r>
        <w:t>2016.gada aptauja “</w:t>
      </w:r>
      <w:r w:rsidRPr="00C92F85">
        <w:rPr>
          <w:rFonts w:cs="Times New Roman"/>
          <w:bCs/>
        </w:rPr>
        <w:t>Latvijas</w:t>
      </w:r>
      <w:r w:rsidRPr="00C92F85">
        <w:rPr>
          <w:rFonts w:cs="Times New Roman"/>
          <w:b/>
          <w:bCs/>
          <w:color w:val="367DA3"/>
        </w:rPr>
        <w:t xml:space="preserve"> </w:t>
      </w:r>
      <w:r w:rsidRPr="00C92F85">
        <w:rPr>
          <w:rFonts w:cs="Times New Roman"/>
          <w:bCs/>
        </w:rPr>
        <w:t>uzņēmēju viedoklis par korupciju komercdarbības vidē, risinot jautājumus valsts un/vai pašvaldības institūcijās</w:t>
      </w:r>
      <w:r>
        <w:rPr>
          <w:rFonts w:cs="Times New Roman"/>
          <w:bCs/>
        </w:rPr>
        <w:t xml:space="preserve">” </w:t>
      </w:r>
      <w:r w:rsidRPr="00C92F85">
        <w:rPr>
          <w:rFonts w:cs="Times New Roman"/>
          <w:bCs/>
        </w:rPr>
        <w:t>(</w:t>
      </w:r>
      <w:r>
        <w:t>pasūtītājs – Birojs, aptaujas veicējs – SKDS</w:t>
      </w:r>
      <w:r w:rsidRPr="00C92F85">
        <w:rPr>
          <w:rFonts w:cs="Times New Roman"/>
          <w:bCs/>
        </w:rPr>
        <w:t>)</w:t>
      </w:r>
    </w:p>
  </w:footnote>
  <w:footnote w:id="4">
    <w:p w14:paraId="42D0F42D" w14:textId="77777777" w:rsidR="00F37AC9" w:rsidRPr="0051002C" w:rsidRDefault="00F37AC9" w:rsidP="004B23CE">
      <w:pPr>
        <w:pStyle w:val="FootnoteText"/>
        <w:ind w:firstLine="0"/>
        <w:jc w:val="left"/>
        <w:rPr>
          <w:bCs/>
        </w:rPr>
      </w:pPr>
      <w:r w:rsidRPr="00E13421">
        <w:rPr>
          <w:rStyle w:val="FootnoteReference"/>
        </w:rPr>
        <w:footnoteRef/>
      </w:r>
      <w:r w:rsidRPr="00E13421">
        <w:t xml:space="preserve"> </w:t>
      </w:r>
      <w:proofErr w:type="spellStart"/>
      <w:r w:rsidRPr="00E13421">
        <w:rPr>
          <w:bCs/>
        </w:rPr>
        <w:t>Co</w:t>
      </w:r>
      <w:r>
        <w:rPr>
          <w:bCs/>
        </w:rPr>
        <w:t>rruption</w:t>
      </w:r>
      <w:proofErr w:type="spellEnd"/>
      <w:r>
        <w:rPr>
          <w:bCs/>
        </w:rPr>
        <w:t xml:space="preserve"> </w:t>
      </w:r>
      <w:proofErr w:type="spellStart"/>
      <w:r>
        <w:rPr>
          <w:bCs/>
        </w:rPr>
        <w:t>Perceptions</w:t>
      </w:r>
      <w:proofErr w:type="spellEnd"/>
      <w:r>
        <w:rPr>
          <w:bCs/>
        </w:rPr>
        <w:t xml:space="preserve"> </w:t>
      </w:r>
      <w:proofErr w:type="spellStart"/>
      <w:r>
        <w:rPr>
          <w:bCs/>
        </w:rPr>
        <w:t>Index</w:t>
      </w:r>
      <w:proofErr w:type="spellEnd"/>
      <w:r>
        <w:rPr>
          <w:bCs/>
        </w:rPr>
        <w:t xml:space="preserve"> 2016: </w:t>
      </w:r>
      <w:hyperlink r:id="rId1" w:history="1">
        <w:r w:rsidRPr="00A340F4">
          <w:rPr>
            <w:rStyle w:val="Hyperlink"/>
            <w:bCs/>
          </w:rPr>
          <w:t>http://www.transparency.org/news/feature/corruption_perceptions_index_2016</w:t>
        </w:r>
      </w:hyperlink>
      <w:r>
        <w:rPr>
          <w:bCs/>
        </w:rPr>
        <w:t xml:space="preserve"> </w:t>
      </w:r>
    </w:p>
  </w:footnote>
  <w:footnote w:id="5">
    <w:p w14:paraId="42D0F42E" w14:textId="77777777" w:rsidR="00F37AC9" w:rsidRDefault="00F37AC9" w:rsidP="004B23CE">
      <w:pPr>
        <w:pStyle w:val="FootnoteText"/>
        <w:ind w:firstLine="0"/>
      </w:pPr>
      <w:r>
        <w:rPr>
          <w:rStyle w:val="FootnoteReference"/>
        </w:rPr>
        <w:footnoteRef/>
      </w:r>
      <w:r>
        <w:t xml:space="preserve"> </w:t>
      </w:r>
      <w:proofErr w:type="spellStart"/>
      <w:r w:rsidRPr="0045437F">
        <w:t>World</w:t>
      </w:r>
      <w:proofErr w:type="spellEnd"/>
      <w:r w:rsidRPr="0045437F">
        <w:t xml:space="preserve"> </w:t>
      </w:r>
      <w:proofErr w:type="spellStart"/>
      <w:r w:rsidRPr="0045437F">
        <w:t>Bank</w:t>
      </w:r>
      <w:proofErr w:type="spellEnd"/>
      <w:r w:rsidRPr="0045437F">
        <w:t xml:space="preserve"> </w:t>
      </w:r>
      <w:proofErr w:type="spellStart"/>
      <w:r w:rsidRPr="0045437F">
        <w:t>Country</w:t>
      </w:r>
      <w:proofErr w:type="spellEnd"/>
      <w:r w:rsidRPr="0045437F">
        <w:t xml:space="preserve"> </w:t>
      </w:r>
      <w:proofErr w:type="spellStart"/>
      <w:r w:rsidRPr="0045437F">
        <w:t>and</w:t>
      </w:r>
      <w:proofErr w:type="spellEnd"/>
      <w:r w:rsidRPr="0045437F">
        <w:t xml:space="preserve"> </w:t>
      </w:r>
      <w:proofErr w:type="spellStart"/>
      <w:r w:rsidRPr="0045437F">
        <w:t>Lending</w:t>
      </w:r>
      <w:proofErr w:type="spellEnd"/>
      <w:r w:rsidRPr="0045437F">
        <w:t xml:space="preserve"> </w:t>
      </w:r>
      <w:proofErr w:type="spellStart"/>
      <w:r w:rsidRPr="0045437F">
        <w:t>Groups</w:t>
      </w:r>
      <w:proofErr w:type="spellEnd"/>
      <w:r>
        <w:t xml:space="preserve">: </w:t>
      </w:r>
    </w:p>
    <w:p w14:paraId="42D0F42F" w14:textId="77777777" w:rsidR="00F37AC9" w:rsidRDefault="007A18A3" w:rsidP="004B23CE">
      <w:pPr>
        <w:pStyle w:val="FootnoteText"/>
        <w:ind w:firstLine="0"/>
      </w:pPr>
      <w:hyperlink r:id="rId2" w:history="1">
        <w:r w:rsidR="00F37AC9" w:rsidRPr="00D63007">
          <w:rPr>
            <w:rStyle w:val="Hyperlink"/>
          </w:rPr>
          <w:t>https://datahelpdesk.worldbank.org/knowledgebase/articles/906519-world-bank-country-and-lending-groups</w:t>
        </w:r>
      </w:hyperlink>
      <w:r w:rsidR="00F37AC9">
        <w:t xml:space="preserve"> </w:t>
      </w:r>
    </w:p>
  </w:footnote>
  <w:footnote w:id="6">
    <w:p w14:paraId="42D0F430" w14:textId="77777777" w:rsidR="00F37AC9" w:rsidRDefault="00F37AC9" w:rsidP="004B23CE">
      <w:pPr>
        <w:pStyle w:val="FootnoteText"/>
        <w:ind w:firstLine="0"/>
      </w:pPr>
      <w:r>
        <w:rPr>
          <w:rStyle w:val="FootnoteReference"/>
        </w:rPr>
        <w:footnoteRef/>
      </w:r>
      <w:r>
        <w:t> </w:t>
      </w:r>
      <w:proofErr w:type="spellStart"/>
      <w:r w:rsidRPr="00996196">
        <w:t>Economic</w:t>
      </w:r>
      <w:proofErr w:type="spellEnd"/>
      <w:r w:rsidRPr="00996196">
        <w:t xml:space="preserve"> </w:t>
      </w:r>
      <w:proofErr w:type="spellStart"/>
      <w:r w:rsidRPr="00996196">
        <w:t>Survey</w:t>
      </w:r>
      <w:proofErr w:type="spellEnd"/>
      <w:r w:rsidRPr="00996196">
        <w:t xml:space="preserve"> </w:t>
      </w:r>
      <w:proofErr w:type="spellStart"/>
      <w:r w:rsidRPr="00996196">
        <w:t>of</w:t>
      </w:r>
      <w:proofErr w:type="spellEnd"/>
      <w:r w:rsidRPr="00996196">
        <w:t xml:space="preserve"> </w:t>
      </w:r>
      <w:proofErr w:type="spellStart"/>
      <w:r w:rsidRPr="00996196">
        <w:t>Latvia</w:t>
      </w:r>
      <w:proofErr w:type="spellEnd"/>
      <w:r w:rsidRPr="00996196">
        <w:t xml:space="preserve"> 2017</w:t>
      </w:r>
      <w:r>
        <w:t xml:space="preserve">: </w:t>
      </w:r>
      <w:hyperlink r:id="rId3" w:history="1">
        <w:r w:rsidRPr="00D63007">
          <w:rPr>
            <w:rStyle w:val="Hyperlink"/>
          </w:rPr>
          <w:t>http://www.oecd.org/eco/surveys/economic-survey-latvia.htm</w:t>
        </w:r>
      </w:hyperlink>
      <w:r>
        <w:t xml:space="preserve"> </w:t>
      </w:r>
    </w:p>
  </w:footnote>
  <w:footnote w:id="7">
    <w:p w14:paraId="42D0F431" w14:textId="77777777" w:rsidR="00F37AC9" w:rsidRDefault="00F37AC9" w:rsidP="004B23CE">
      <w:pPr>
        <w:pStyle w:val="FootnoteText"/>
        <w:ind w:firstLine="0"/>
      </w:pPr>
      <w:r>
        <w:rPr>
          <w:rStyle w:val="FootnoteReference"/>
        </w:rPr>
        <w:footnoteRef/>
      </w:r>
      <w:r>
        <w:t> </w:t>
      </w:r>
      <w:proofErr w:type="spellStart"/>
      <w:r>
        <w:t>Global</w:t>
      </w:r>
      <w:proofErr w:type="spellEnd"/>
      <w:r>
        <w:t xml:space="preserve"> </w:t>
      </w:r>
      <w:proofErr w:type="spellStart"/>
      <w:r>
        <w:t>competitiveness</w:t>
      </w:r>
      <w:proofErr w:type="spellEnd"/>
      <w:r>
        <w:t xml:space="preserve"> </w:t>
      </w:r>
      <w:proofErr w:type="spellStart"/>
      <w:r>
        <w:t>report</w:t>
      </w:r>
      <w:proofErr w:type="spellEnd"/>
      <w:r>
        <w:t xml:space="preserve"> 2017-2018: </w:t>
      </w:r>
      <w:hyperlink r:id="rId4" w:history="1">
        <w:r w:rsidRPr="006E4F16">
          <w:rPr>
            <w:rStyle w:val="Hyperlink"/>
          </w:rPr>
          <w:t>http://reports.weforum.org/global-competitiveness-index-2017-2018/</w:t>
        </w:r>
      </w:hyperlink>
      <w:r>
        <w:t xml:space="preserve"> </w:t>
      </w:r>
    </w:p>
  </w:footnote>
  <w:footnote w:id="8">
    <w:p w14:paraId="42D0F432" w14:textId="77777777" w:rsidR="00F37AC9" w:rsidRDefault="00F37AC9" w:rsidP="004B23CE">
      <w:pPr>
        <w:pStyle w:val="FootnoteText"/>
        <w:ind w:firstLine="0"/>
      </w:pPr>
      <w:r>
        <w:rPr>
          <w:rStyle w:val="FootnoteReference"/>
        </w:rPr>
        <w:footnoteRef/>
      </w:r>
      <w:r>
        <w:t xml:space="preserve"> </w:t>
      </w:r>
      <w:r w:rsidRPr="0051002C">
        <w:t xml:space="preserve">2016.gada oktobra </w:t>
      </w:r>
      <w:r>
        <w:t>aptauja</w:t>
      </w:r>
      <w:r w:rsidRPr="0051002C">
        <w:t xml:space="preserve"> </w:t>
      </w:r>
      <w:r>
        <w:t>(pasūtītājs – Birojs, aptaujas veicējs – SKDS).</w:t>
      </w:r>
    </w:p>
  </w:footnote>
  <w:footnote w:id="9">
    <w:p w14:paraId="42D0F433" w14:textId="77777777" w:rsidR="00F37AC9" w:rsidRDefault="00F37AC9" w:rsidP="004B23CE">
      <w:pPr>
        <w:pStyle w:val="FootnoteText"/>
        <w:ind w:firstLine="0"/>
      </w:pPr>
      <w:r>
        <w:rPr>
          <w:rStyle w:val="FootnoteReference"/>
        </w:rPr>
        <w:footnoteRef/>
      </w:r>
      <w:r>
        <w:t xml:space="preserve"> </w:t>
      </w:r>
      <w:r w:rsidRPr="0051002C">
        <w:t>201</w:t>
      </w:r>
      <w:r>
        <w:t>7</w:t>
      </w:r>
      <w:r w:rsidRPr="0051002C">
        <w:t xml:space="preserve">.gada </w:t>
      </w:r>
      <w:r>
        <w:t>oktobra</w:t>
      </w:r>
      <w:r w:rsidRPr="0051002C">
        <w:t xml:space="preserve"> </w:t>
      </w:r>
      <w:r w:rsidRPr="000A003F">
        <w:t>pētījumu centra SKDS aptauja</w:t>
      </w:r>
    </w:p>
  </w:footnote>
  <w:footnote w:id="10">
    <w:p w14:paraId="42D0F434" w14:textId="77777777" w:rsidR="00F37AC9" w:rsidRDefault="00F37AC9" w:rsidP="004B23CE">
      <w:pPr>
        <w:pStyle w:val="FootnoteText"/>
        <w:ind w:firstLine="0"/>
      </w:pPr>
      <w:r>
        <w:rPr>
          <w:rStyle w:val="FootnoteReference"/>
        </w:rPr>
        <w:footnoteRef/>
      </w:r>
      <w:r>
        <w:t> </w:t>
      </w:r>
      <w:hyperlink r:id="rId5" w:history="1">
        <w:r w:rsidRPr="00A340F4">
          <w:rPr>
            <w:rStyle w:val="Hyperlink"/>
          </w:rPr>
          <w:t>http://www.saeima.lv/lv/aktualitates/saeimas-zinas/24797-saeima-atsakas-no-deputatu-imunitates-administrativajas-lietas</w:t>
        </w:r>
      </w:hyperlink>
      <w:r>
        <w:t xml:space="preserve"> </w:t>
      </w:r>
    </w:p>
  </w:footnote>
  <w:footnote w:id="11">
    <w:p w14:paraId="42D0F435" w14:textId="77777777" w:rsidR="00F37AC9" w:rsidRPr="00015E2D" w:rsidRDefault="00F37AC9" w:rsidP="00015E2D">
      <w:pPr>
        <w:ind w:firstLine="0"/>
        <w:rPr>
          <w:sz w:val="20"/>
          <w:szCs w:val="20"/>
        </w:rPr>
      </w:pPr>
      <w:r w:rsidRPr="00CF63A2">
        <w:rPr>
          <w:rStyle w:val="FootnoteReference"/>
          <w:sz w:val="20"/>
          <w:szCs w:val="20"/>
        </w:rPr>
        <w:footnoteRef/>
      </w:r>
      <w:r w:rsidRPr="00CF63A2">
        <w:rPr>
          <w:sz w:val="20"/>
          <w:szCs w:val="20"/>
        </w:rPr>
        <w:t xml:space="preserve"> </w:t>
      </w:r>
      <w:r w:rsidRPr="008F5955">
        <w:rPr>
          <w:sz w:val="20"/>
          <w:szCs w:val="20"/>
        </w:rPr>
        <w:t>2015.gada 16.janvāra rīkojum</w:t>
      </w:r>
      <w:r>
        <w:rPr>
          <w:sz w:val="20"/>
          <w:szCs w:val="20"/>
        </w:rPr>
        <w:t>s</w:t>
      </w:r>
      <w:r w:rsidRPr="00CF63A2">
        <w:rPr>
          <w:sz w:val="20"/>
          <w:szCs w:val="20"/>
        </w:rPr>
        <w:t xml:space="preserve"> Nr.1-1/25 </w:t>
      </w:r>
      <w:r>
        <w:rPr>
          <w:sz w:val="20"/>
          <w:szCs w:val="20"/>
        </w:rPr>
        <w:t xml:space="preserve">par darba grupas </w:t>
      </w:r>
      <w:r w:rsidRPr="00CF63A2">
        <w:rPr>
          <w:sz w:val="20"/>
          <w:szCs w:val="20"/>
        </w:rPr>
        <w:t>Kriminālprocesa likuma grozījumu izstrādei</w:t>
      </w:r>
      <w:r>
        <w:rPr>
          <w:sz w:val="20"/>
          <w:szCs w:val="20"/>
        </w:rPr>
        <w:t xml:space="preserve"> izveidi </w:t>
      </w:r>
      <w:r w:rsidRPr="00CF63A2">
        <w:rPr>
          <w:sz w:val="20"/>
          <w:szCs w:val="20"/>
        </w:rPr>
        <w:t>un</w:t>
      </w:r>
      <w:r w:rsidRPr="008F5955">
        <w:rPr>
          <w:sz w:val="20"/>
          <w:szCs w:val="20"/>
        </w:rPr>
        <w:t xml:space="preserve"> </w:t>
      </w:r>
      <w:r w:rsidRPr="00CF63A2">
        <w:rPr>
          <w:sz w:val="20"/>
          <w:szCs w:val="20"/>
        </w:rPr>
        <w:t>2011.g</w:t>
      </w:r>
      <w:r w:rsidRPr="008F5955">
        <w:rPr>
          <w:sz w:val="20"/>
          <w:szCs w:val="20"/>
        </w:rPr>
        <w:t>ada 16.novembra rīkojum</w:t>
      </w:r>
      <w:r>
        <w:rPr>
          <w:sz w:val="20"/>
          <w:szCs w:val="20"/>
        </w:rPr>
        <w:t>s</w:t>
      </w:r>
      <w:r w:rsidRPr="00CF63A2">
        <w:rPr>
          <w:sz w:val="20"/>
          <w:szCs w:val="20"/>
        </w:rPr>
        <w:t xml:space="preserve"> Nr.1-1/388 pastāvīgu darba grupu Krimināllikuma grozījumu izstrādei</w:t>
      </w:r>
      <w:r>
        <w:rPr>
          <w:sz w:val="20"/>
          <w:szCs w:val="20"/>
        </w:rPr>
        <w:t xml:space="preserve">. Darba grupas ietvaros </w:t>
      </w:r>
      <w:r w:rsidRPr="00CF63A2">
        <w:rPr>
          <w:sz w:val="20"/>
          <w:szCs w:val="20"/>
        </w:rPr>
        <w:t>izvērtē dažādu institūciju sniegtos priekšlikumus grozījumiem Kriminālprocesa likumā un Krimināllikumā, kā arī nepieciešamības gadījumā izstrādā grozījumus tajos un ar tiem saistītajos normatīvajos aktos.</w:t>
      </w:r>
    </w:p>
  </w:footnote>
  <w:footnote w:id="12">
    <w:p w14:paraId="42D0F436" w14:textId="77777777" w:rsidR="00F37AC9" w:rsidRDefault="00F37AC9" w:rsidP="00D97F44">
      <w:pPr>
        <w:pStyle w:val="FootnoteText"/>
        <w:ind w:firstLine="0"/>
      </w:pPr>
      <w:r>
        <w:rPr>
          <w:rStyle w:val="FootnoteReference"/>
        </w:rPr>
        <w:footnoteRef/>
      </w:r>
      <w:r>
        <w:t xml:space="preserve"> </w:t>
      </w:r>
      <w:r w:rsidRPr="00A83E77">
        <w:t>Informatīvais ziņojums “Par iekšējās pretkorupcijas kontroles sistēmas novērtējumu publiskas personas institūcijās” (2016-TA-102)</w:t>
      </w:r>
    </w:p>
  </w:footnote>
  <w:footnote w:id="13">
    <w:p w14:paraId="42D0F437" w14:textId="77777777" w:rsidR="00F37AC9" w:rsidRDefault="00F37AC9" w:rsidP="008346BF">
      <w:pPr>
        <w:pStyle w:val="FootnoteText"/>
        <w:ind w:firstLine="0"/>
      </w:pPr>
      <w:r>
        <w:rPr>
          <w:rStyle w:val="FootnoteReference"/>
        </w:rPr>
        <w:footnoteRef/>
      </w:r>
      <w:r>
        <w:t xml:space="preserve"> Likumprojekts (VSS-653). Pieejams: </w:t>
      </w:r>
      <w:hyperlink r:id="rId6" w:history="1">
        <w:r w:rsidRPr="00A340F4">
          <w:rPr>
            <w:rStyle w:val="Hyperlink"/>
          </w:rPr>
          <w:t>http://tap.mk.gov.lv/lv/mk/tap/?pid=40393726</w:t>
        </w:r>
      </w:hyperlink>
      <w:r>
        <w:t xml:space="preserve"> </w:t>
      </w:r>
    </w:p>
  </w:footnote>
  <w:footnote w:id="14">
    <w:p w14:paraId="42D0F438" w14:textId="77777777" w:rsidR="000022A6" w:rsidRDefault="000022A6" w:rsidP="000022A6">
      <w:pPr>
        <w:pStyle w:val="FootnoteText"/>
        <w:ind w:firstLine="0"/>
      </w:pPr>
      <w:r>
        <w:rPr>
          <w:rStyle w:val="FootnoteReference"/>
        </w:rPr>
        <w:footnoteRef/>
      </w:r>
      <w:r>
        <w:t> </w:t>
      </w:r>
      <w:r w:rsidRPr="000022A6">
        <w:t xml:space="preserve">2016.gada 16.jūnija likums “Grozījumi Priekšvēlēšanu aģitācijas likumā”. Publicēts oficiālajā izdevumā “Latvijas Vēstnesis”, 29.06.2016., Nr.123 (5695), pieejams: </w:t>
      </w:r>
      <w:hyperlink r:id="rId7" w:history="1">
        <w:r w:rsidRPr="00135B42">
          <w:rPr>
            <w:rStyle w:val="Hyperlink"/>
          </w:rPr>
          <w:t>https://www.vestnesis.lv/op/2016/123.11</w:t>
        </w:r>
      </w:hyperlink>
      <w:r>
        <w:t xml:space="preserve"> </w:t>
      </w:r>
    </w:p>
  </w:footnote>
  <w:footnote w:id="15">
    <w:p w14:paraId="42D0F439" w14:textId="77777777" w:rsidR="00F37AC9" w:rsidRDefault="00F37AC9" w:rsidP="00CC2EA2">
      <w:pPr>
        <w:pStyle w:val="FootnoteText"/>
        <w:ind w:firstLine="0"/>
      </w:pPr>
      <w:r>
        <w:rPr>
          <w:rStyle w:val="FootnoteReference"/>
        </w:rPr>
        <w:footnoteRef/>
      </w:r>
      <w:r>
        <w:t xml:space="preserve"> </w:t>
      </w:r>
      <w:r w:rsidRPr="00D623CB">
        <w:t>Korupcijas novēršanas un apkarošanas pamatnostādņu 2015.–2020.gadam (apstiprinātas ar Ministru kabineta 2015.gada 16.jūlijā ar rīkojumu Nr.393) 2.</w:t>
      </w:r>
      <w:r>
        <w:t>8</w:t>
      </w:r>
      <w:r w:rsidRPr="00D623CB">
        <w:t>.uzdevums</w:t>
      </w:r>
    </w:p>
  </w:footnote>
  <w:footnote w:id="16">
    <w:p w14:paraId="42D0F43A" w14:textId="77777777" w:rsidR="00F37AC9" w:rsidRDefault="00F37AC9" w:rsidP="00CC2EA2">
      <w:pPr>
        <w:pStyle w:val="FootnoteText"/>
        <w:ind w:firstLine="0"/>
      </w:pPr>
      <w:r>
        <w:rPr>
          <w:rStyle w:val="FootnoteReference"/>
        </w:rPr>
        <w:footnoteRef/>
      </w:r>
      <w:r>
        <w:t xml:space="preserve"> </w:t>
      </w:r>
      <w:r w:rsidRPr="00D623CB">
        <w:t>Korupcijas novēršanas un apkarošanas pamatnostādņu 2015.–2020.gadam (apstiprinātas ar Ministru kabineta 2015.gada 16.jūlijā ar rīkojumu Nr</w:t>
      </w:r>
      <w:r>
        <w:t>.393) 7</w:t>
      </w:r>
      <w:r w:rsidRPr="00D623CB">
        <w:t>.</w:t>
      </w:r>
      <w:r>
        <w:t>4</w:t>
      </w:r>
      <w:r w:rsidRPr="00D623CB">
        <w:t>.</w:t>
      </w:r>
      <w:r>
        <w:t>, 7.5.</w:t>
      </w:r>
      <w:r w:rsidRPr="00D623CB">
        <w:t xml:space="preserve">uzdevums </w:t>
      </w:r>
    </w:p>
  </w:footnote>
  <w:footnote w:id="17">
    <w:p w14:paraId="42D0F43B" w14:textId="77777777" w:rsidR="00F37AC9" w:rsidRDefault="00F37AC9" w:rsidP="00CC2EA2">
      <w:pPr>
        <w:pStyle w:val="FootnoteText"/>
        <w:ind w:firstLine="0"/>
      </w:pPr>
      <w:r>
        <w:rPr>
          <w:rStyle w:val="FootnoteReference"/>
        </w:rPr>
        <w:footnoteRef/>
      </w:r>
      <w:r>
        <w:t xml:space="preserve"> </w:t>
      </w:r>
      <w:r w:rsidRPr="004357F8">
        <w:t>2016.gada 29.janvārā Ministru kabineta informatīvais ziņojums “Par iekšējās pretkorupcijas kontroles sistēmas novērtējumu publiskas personas institūcijās” (2016-TA-102)</w:t>
      </w:r>
    </w:p>
  </w:footnote>
  <w:footnote w:id="18">
    <w:p w14:paraId="42D0F43C" w14:textId="77777777" w:rsidR="00F37AC9" w:rsidRPr="00E45BAE" w:rsidRDefault="00F37AC9" w:rsidP="00CC2EA2">
      <w:pPr>
        <w:pStyle w:val="FootnoteText"/>
        <w:ind w:firstLine="0"/>
        <w:rPr>
          <w:rFonts w:cs="Times New Roman"/>
        </w:rPr>
      </w:pPr>
      <w:r w:rsidRPr="00E45BAE">
        <w:rPr>
          <w:rStyle w:val="FootnoteReference"/>
          <w:rFonts w:cs="Times New Roman"/>
        </w:rPr>
        <w:footnoteRef/>
      </w:r>
      <w:r w:rsidRPr="00E45BAE">
        <w:rPr>
          <w:rFonts w:cs="Times New Roman"/>
        </w:rPr>
        <w:t xml:space="preserve"> Latvija ir pievienojusies visiem starptautiskajiem līgumiem, kuru saistību izpildi uzrauga GRECO: Eiropas Padomes Krimināltiesību pretkorupcijas konvencijai un Papildprotokolam, Eiropas Padomes Civiltiesību pretkorupcijas konvencijai.</w:t>
      </w:r>
    </w:p>
  </w:footnote>
  <w:footnote w:id="19">
    <w:p w14:paraId="42D0F43D" w14:textId="77777777" w:rsidR="00F37AC9" w:rsidRPr="004A675A" w:rsidRDefault="00F37AC9" w:rsidP="00CC2EA2">
      <w:pPr>
        <w:pStyle w:val="FootnoteText"/>
        <w:ind w:firstLine="0"/>
        <w:jc w:val="left"/>
        <w:rPr>
          <w:rFonts w:cs="Times New Roman"/>
        </w:rPr>
      </w:pPr>
      <w:r w:rsidRPr="004A675A">
        <w:rPr>
          <w:rStyle w:val="FootnoteReference"/>
          <w:rFonts w:cs="Times New Roman"/>
        </w:rPr>
        <w:footnoteRef/>
      </w:r>
      <w:r w:rsidRPr="004A675A">
        <w:rPr>
          <w:rFonts w:cs="Times New Roman"/>
        </w:rPr>
        <w:t xml:space="preserve"> OECD ACN Stambulas Pretkorupcijas darbības plāns: </w:t>
      </w:r>
      <w:hyperlink r:id="rId8" w:history="1">
        <w:r w:rsidRPr="004A675A">
          <w:rPr>
            <w:rStyle w:val="Hyperlink"/>
            <w:rFonts w:cs="Times New Roman"/>
          </w:rPr>
          <w:t>http://www.oecd.org/corruption/acn/istanbulactionplan/</w:t>
        </w:r>
      </w:hyperlink>
      <w:r w:rsidRPr="004A675A">
        <w:rPr>
          <w:rFonts w:cs="Times New Roman"/>
        </w:rPr>
        <w:t xml:space="preserve"> </w:t>
      </w:r>
    </w:p>
  </w:footnote>
  <w:footnote w:id="20">
    <w:p w14:paraId="42D0F43E" w14:textId="77777777" w:rsidR="00F37AC9" w:rsidRDefault="00F37AC9" w:rsidP="00CC2EA2">
      <w:pPr>
        <w:pStyle w:val="FootnoteText"/>
        <w:ind w:firstLine="0"/>
      </w:pPr>
      <w:r>
        <w:rPr>
          <w:rStyle w:val="FootnoteReference"/>
        </w:rPr>
        <w:footnoteRef/>
      </w:r>
      <w:r>
        <w:t xml:space="preserve"> </w:t>
      </w:r>
      <w:r w:rsidRPr="00D623CB">
        <w:t>Korupcijas novēršanas un apkarošanas pamatnostādņu 2015.–2020.gadam (apstiprinātas ar Ministru kabineta 2015.gada 16.jūlijā ar rīkojumu Nr.393) 4.2.uzdevums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790551"/>
      <w:docPartObj>
        <w:docPartGallery w:val="Page Numbers (Top of Page)"/>
        <w:docPartUnique/>
      </w:docPartObj>
    </w:sdtPr>
    <w:sdtEndPr>
      <w:rPr>
        <w:noProof/>
        <w:sz w:val="24"/>
      </w:rPr>
    </w:sdtEndPr>
    <w:sdtContent>
      <w:p w14:paraId="42D0F427" w14:textId="58107879" w:rsidR="00F37AC9" w:rsidRPr="00256F61" w:rsidRDefault="00F37AC9" w:rsidP="00256F61">
        <w:pPr>
          <w:pStyle w:val="Header"/>
          <w:ind w:firstLine="0"/>
          <w:jc w:val="center"/>
          <w:rPr>
            <w:sz w:val="24"/>
          </w:rPr>
        </w:pPr>
        <w:r w:rsidRPr="00256F61">
          <w:rPr>
            <w:sz w:val="24"/>
          </w:rPr>
          <w:fldChar w:fldCharType="begin"/>
        </w:r>
        <w:r w:rsidRPr="00256F61">
          <w:rPr>
            <w:sz w:val="24"/>
          </w:rPr>
          <w:instrText xml:space="preserve"> PAGE   \* MERGEFORMAT </w:instrText>
        </w:r>
        <w:r w:rsidRPr="00256F61">
          <w:rPr>
            <w:sz w:val="24"/>
          </w:rPr>
          <w:fldChar w:fldCharType="separate"/>
        </w:r>
        <w:r w:rsidR="007A18A3">
          <w:rPr>
            <w:noProof/>
            <w:sz w:val="24"/>
          </w:rPr>
          <w:t>2</w:t>
        </w:r>
        <w:r w:rsidRPr="00256F61">
          <w:rPr>
            <w:noProof/>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21A23" w14:textId="0BAAEE4C" w:rsidR="00DD5DD5" w:rsidRPr="004F4040" w:rsidRDefault="00DD5DD5" w:rsidP="004F4040">
    <w:pPr>
      <w:pStyle w:val="Header"/>
    </w:pPr>
    <w:r w:rsidRPr="004F404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B03"/>
    <w:multiLevelType w:val="hybridMultilevel"/>
    <w:tmpl w:val="0F6E4C52"/>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1">
    <w:nsid w:val="024D02CD"/>
    <w:multiLevelType w:val="multilevel"/>
    <w:tmpl w:val="1F74F6B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213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088458B0"/>
    <w:multiLevelType w:val="hybridMultilevel"/>
    <w:tmpl w:val="970C4896"/>
    <w:lvl w:ilvl="0" w:tplc="B0E48FFE">
      <w:start w:val="1"/>
      <w:numFmt w:val="decimal"/>
      <w:pStyle w:val="Heading2"/>
      <w:lvlText w:val="%1.1. "/>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0A5042FB"/>
    <w:multiLevelType w:val="multilevel"/>
    <w:tmpl w:val="8EDCF5DE"/>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76B2568"/>
    <w:multiLevelType w:val="hybridMultilevel"/>
    <w:tmpl w:val="72FA4A24"/>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nsid w:val="1BEE3032"/>
    <w:multiLevelType w:val="hybridMultilevel"/>
    <w:tmpl w:val="031EEF8E"/>
    <w:lvl w:ilvl="0" w:tplc="A30A66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CAE6B3E"/>
    <w:multiLevelType w:val="multilevel"/>
    <w:tmpl w:val="03C28BEC"/>
    <w:lvl w:ilvl="0">
      <w:start w:val="1"/>
      <w:numFmt w:val="decimal"/>
      <w:lvlText w:val="%1."/>
      <w:lvlJc w:val="left"/>
      <w:pPr>
        <w:ind w:left="675" w:hanging="675"/>
      </w:pPr>
      <w:rPr>
        <w:rFonts w:hint="default"/>
      </w:rPr>
    </w:lvl>
    <w:lvl w:ilvl="1">
      <w:start w:val="3"/>
      <w:numFmt w:val="decimal"/>
      <w:lvlText w:val="%1.%2."/>
      <w:lvlJc w:val="left"/>
      <w:pPr>
        <w:ind w:left="1641" w:hanging="72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7">
    <w:nsid w:val="23582C2E"/>
    <w:multiLevelType w:val="multilevel"/>
    <w:tmpl w:val="939E86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8">
    <w:nsid w:val="245A425E"/>
    <w:multiLevelType w:val="hybridMultilevel"/>
    <w:tmpl w:val="AE826548"/>
    <w:lvl w:ilvl="0" w:tplc="0809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246E4861"/>
    <w:multiLevelType w:val="hybridMultilevel"/>
    <w:tmpl w:val="E4CAD502"/>
    <w:lvl w:ilvl="0" w:tplc="08090017">
      <w:start w:val="1"/>
      <w:numFmt w:val="lowerLetter"/>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nsid w:val="251137A9"/>
    <w:multiLevelType w:val="hybridMultilevel"/>
    <w:tmpl w:val="F5D6C4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CA03871"/>
    <w:multiLevelType w:val="multilevel"/>
    <w:tmpl w:val="0472FFC6"/>
    <w:lvl w:ilvl="0">
      <w:start w:val="1"/>
      <w:numFmt w:val="decimal"/>
      <w:lvlText w:val="%1)"/>
      <w:lvlJc w:val="left"/>
      <w:pPr>
        <w:ind w:left="1069" w:hanging="360"/>
      </w:pPr>
    </w:lvl>
    <w:lvl w:ilvl="1">
      <w:start w:val="1"/>
      <w:numFmt w:val="decimal"/>
      <w:isLgl/>
      <w:lvlText w:val="%1.%2."/>
      <w:lvlJc w:val="left"/>
      <w:pPr>
        <w:ind w:left="213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nsid w:val="34A562B8"/>
    <w:multiLevelType w:val="hybridMultilevel"/>
    <w:tmpl w:val="F12CA5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17">
      <w:start w:val="1"/>
      <w:numFmt w:val="lowerLetter"/>
      <w:lvlText w:val="%3)"/>
      <w:lvlJc w:val="left"/>
      <w:pPr>
        <w:ind w:left="2160" w:hanging="360"/>
      </w:pPr>
      <w:rPr>
        <w:rFont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8CF0E10"/>
    <w:multiLevelType w:val="hybridMultilevel"/>
    <w:tmpl w:val="4D0E8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B892EDB"/>
    <w:multiLevelType w:val="multilevel"/>
    <w:tmpl w:val="7C1481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sz w:val="32"/>
        <w:szCs w:val="3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C1D6357"/>
    <w:multiLevelType w:val="multilevel"/>
    <w:tmpl w:val="B1A47C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2A55D2"/>
    <w:multiLevelType w:val="multilevel"/>
    <w:tmpl w:val="28802246"/>
    <w:lvl w:ilvl="0">
      <w:start w:val="1"/>
      <w:numFmt w:val="decimal"/>
      <w:pStyle w:val="Heading1"/>
      <w:lvlText w:val="%1."/>
      <w:lvlJc w:val="left"/>
      <w:pPr>
        <w:ind w:left="720" w:hanging="360"/>
      </w:pPr>
      <w:rPr>
        <w:rFonts w:hint="default"/>
      </w:rPr>
    </w:lvl>
    <w:lvl w:ilvl="1">
      <w:start w:val="2"/>
      <w:numFmt w:val="decimal"/>
      <w:isLgl/>
      <w:lvlText w:val="%1.%2."/>
      <w:lvlJc w:val="left"/>
      <w:pPr>
        <w:ind w:left="2847" w:hanging="720"/>
      </w:pPr>
      <w:rPr>
        <w:rFonts w:hint="default"/>
      </w:rPr>
    </w:lvl>
    <w:lvl w:ilvl="2">
      <w:start w:val="1"/>
      <w:numFmt w:val="decimal"/>
      <w:isLgl/>
      <w:lvlText w:val="%1.%2.%3."/>
      <w:lvlJc w:val="left"/>
      <w:pPr>
        <w:ind w:left="2563" w:hanging="720"/>
      </w:pPr>
      <w:rPr>
        <w:rFonts w:hint="default"/>
        <w:b/>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nsid w:val="3E9E7594"/>
    <w:multiLevelType w:val="hybridMultilevel"/>
    <w:tmpl w:val="36A49D44"/>
    <w:lvl w:ilvl="0" w:tplc="803CEE36">
      <w:start w:val="1"/>
      <w:numFmt w:val="lowerLetter"/>
      <w:lvlText w:val="%1)"/>
      <w:lvlJc w:val="left"/>
      <w:pPr>
        <w:ind w:left="1684" w:hanging="9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nsid w:val="41274958"/>
    <w:multiLevelType w:val="hybridMultilevel"/>
    <w:tmpl w:val="D7E2A194"/>
    <w:lvl w:ilvl="0" w:tplc="24064F66">
      <w:start w:val="1"/>
      <w:numFmt w:val="bullet"/>
      <w:lvlText w:val="•"/>
      <w:lvlJc w:val="left"/>
      <w:pPr>
        <w:tabs>
          <w:tab w:val="num" w:pos="720"/>
        </w:tabs>
        <w:ind w:left="720" w:hanging="360"/>
      </w:pPr>
      <w:rPr>
        <w:rFonts w:ascii="Arial" w:hAnsi="Arial" w:hint="default"/>
      </w:rPr>
    </w:lvl>
    <w:lvl w:ilvl="1" w:tplc="9296283C" w:tentative="1">
      <w:start w:val="1"/>
      <w:numFmt w:val="bullet"/>
      <w:lvlText w:val="•"/>
      <w:lvlJc w:val="left"/>
      <w:pPr>
        <w:tabs>
          <w:tab w:val="num" w:pos="1440"/>
        </w:tabs>
        <w:ind w:left="1440" w:hanging="360"/>
      </w:pPr>
      <w:rPr>
        <w:rFonts w:ascii="Arial" w:hAnsi="Arial" w:hint="default"/>
      </w:rPr>
    </w:lvl>
    <w:lvl w:ilvl="2" w:tplc="03B819C8" w:tentative="1">
      <w:start w:val="1"/>
      <w:numFmt w:val="bullet"/>
      <w:lvlText w:val="•"/>
      <w:lvlJc w:val="left"/>
      <w:pPr>
        <w:tabs>
          <w:tab w:val="num" w:pos="2160"/>
        </w:tabs>
        <w:ind w:left="2160" w:hanging="360"/>
      </w:pPr>
      <w:rPr>
        <w:rFonts w:ascii="Arial" w:hAnsi="Arial" w:hint="default"/>
      </w:rPr>
    </w:lvl>
    <w:lvl w:ilvl="3" w:tplc="7C485310" w:tentative="1">
      <w:start w:val="1"/>
      <w:numFmt w:val="bullet"/>
      <w:lvlText w:val="•"/>
      <w:lvlJc w:val="left"/>
      <w:pPr>
        <w:tabs>
          <w:tab w:val="num" w:pos="2880"/>
        </w:tabs>
        <w:ind w:left="2880" w:hanging="360"/>
      </w:pPr>
      <w:rPr>
        <w:rFonts w:ascii="Arial" w:hAnsi="Arial" w:hint="default"/>
      </w:rPr>
    </w:lvl>
    <w:lvl w:ilvl="4" w:tplc="FF088ED6" w:tentative="1">
      <w:start w:val="1"/>
      <w:numFmt w:val="bullet"/>
      <w:lvlText w:val="•"/>
      <w:lvlJc w:val="left"/>
      <w:pPr>
        <w:tabs>
          <w:tab w:val="num" w:pos="3600"/>
        </w:tabs>
        <w:ind w:left="3600" w:hanging="360"/>
      </w:pPr>
      <w:rPr>
        <w:rFonts w:ascii="Arial" w:hAnsi="Arial" w:hint="default"/>
      </w:rPr>
    </w:lvl>
    <w:lvl w:ilvl="5" w:tplc="18362E92" w:tentative="1">
      <w:start w:val="1"/>
      <w:numFmt w:val="bullet"/>
      <w:lvlText w:val="•"/>
      <w:lvlJc w:val="left"/>
      <w:pPr>
        <w:tabs>
          <w:tab w:val="num" w:pos="4320"/>
        </w:tabs>
        <w:ind w:left="4320" w:hanging="360"/>
      </w:pPr>
      <w:rPr>
        <w:rFonts w:ascii="Arial" w:hAnsi="Arial" w:hint="default"/>
      </w:rPr>
    </w:lvl>
    <w:lvl w:ilvl="6" w:tplc="1C60E97A" w:tentative="1">
      <w:start w:val="1"/>
      <w:numFmt w:val="bullet"/>
      <w:lvlText w:val="•"/>
      <w:lvlJc w:val="left"/>
      <w:pPr>
        <w:tabs>
          <w:tab w:val="num" w:pos="5040"/>
        </w:tabs>
        <w:ind w:left="5040" w:hanging="360"/>
      </w:pPr>
      <w:rPr>
        <w:rFonts w:ascii="Arial" w:hAnsi="Arial" w:hint="default"/>
      </w:rPr>
    </w:lvl>
    <w:lvl w:ilvl="7" w:tplc="A974668A" w:tentative="1">
      <w:start w:val="1"/>
      <w:numFmt w:val="bullet"/>
      <w:lvlText w:val="•"/>
      <w:lvlJc w:val="left"/>
      <w:pPr>
        <w:tabs>
          <w:tab w:val="num" w:pos="5760"/>
        </w:tabs>
        <w:ind w:left="5760" w:hanging="360"/>
      </w:pPr>
      <w:rPr>
        <w:rFonts w:ascii="Arial" w:hAnsi="Arial" w:hint="default"/>
      </w:rPr>
    </w:lvl>
    <w:lvl w:ilvl="8" w:tplc="310CF4A8" w:tentative="1">
      <w:start w:val="1"/>
      <w:numFmt w:val="bullet"/>
      <w:lvlText w:val="•"/>
      <w:lvlJc w:val="left"/>
      <w:pPr>
        <w:tabs>
          <w:tab w:val="num" w:pos="6480"/>
        </w:tabs>
        <w:ind w:left="6480" w:hanging="360"/>
      </w:pPr>
      <w:rPr>
        <w:rFonts w:ascii="Arial" w:hAnsi="Arial" w:hint="default"/>
      </w:rPr>
    </w:lvl>
  </w:abstractNum>
  <w:abstractNum w:abstractNumId="19">
    <w:nsid w:val="4637006F"/>
    <w:multiLevelType w:val="hybridMultilevel"/>
    <w:tmpl w:val="9EE2AE8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nsid w:val="49504000"/>
    <w:multiLevelType w:val="hybridMultilevel"/>
    <w:tmpl w:val="FCBE8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133F9"/>
    <w:multiLevelType w:val="hybridMultilevel"/>
    <w:tmpl w:val="31E0E0A0"/>
    <w:lvl w:ilvl="0" w:tplc="7E12D64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EF68CE"/>
    <w:multiLevelType w:val="hybridMultilevel"/>
    <w:tmpl w:val="0A0A6784"/>
    <w:lvl w:ilvl="0" w:tplc="B9C6967C">
      <w:start w:val="1"/>
      <w:numFmt w:val="bullet"/>
      <w:lvlText w:val="•"/>
      <w:lvlJc w:val="left"/>
      <w:pPr>
        <w:tabs>
          <w:tab w:val="num" w:pos="720"/>
        </w:tabs>
        <w:ind w:left="720" w:hanging="360"/>
      </w:pPr>
      <w:rPr>
        <w:rFonts w:ascii="Arial" w:hAnsi="Arial" w:hint="default"/>
      </w:rPr>
    </w:lvl>
    <w:lvl w:ilvl="1" w:tplc="A9F8F8C2" w:tentative="1">
      <w:start w:val="1"/>
      <w:numFmt w:val="bullet"/>
      <w:lvlText w:val="•"/>
      <w:lvlJc w:val="left"/>
      <w:pPr>
        <w:tabs>
          <w:tab w:val="num" w:pos="1440"/>
        </w:tabs>
        <w:ind w:left="1440" w:hanging="360"/>
      </w:pPr>
      <w:rPr>
        <w:rFonts w:ascii="Arial" w:hAnsi="Arial" w:hint="default"/>
      </w:rPr>
    </w:lvl>
    <w:lvl w:ilvl="2" w:tplc="CF44076A" w:tentative="1">
      <w:start w:val="1"/>
      <w:numFmt w:val="bullet"/>
      <w:lvlText w:val="•"/>
      <w:lvlJc w:val="left"/>
      <w:pPr>
        <w:tabs>
          <w:tab w:val="num" w:pos="2160"/>
        </w:tabs>
        <w:ind w:left="2160" w:hanging="360"/>
      </w:pPr>
      <w:rPr>
        <w:rFonts w:ascii="Arial" w:hAnsi="Arial" w:hint="default"/>
      </w:rPr>
    </w:lvl>
    <w:lvl w:ilvl="3" w:tplc="B6764DB8" w:tentative="1">
      <w:start w:val="1"/>
      <w:numFmt w:val="bullet"/>
      <w:lvlText w:val="•"/>
      <w:lvlJc w:val="left"/>
      <w:pPr>
        <w:tabs>
          <w:tab w:val="num" w:pos="2880"/>
        </w:tabs>
        <w:ind w:left="2880" w:hanging="360"/>
      </w:pPr>
      <w:rPr>
        <w:rFonts w:ascii="Arial" w:hAnsi="Arial" w:hint="default"/>
      </w:rPr>
    </w:lvl>
    <w:lvl w:ilvl="4" w:tplc="20467392" w:tentative="1">
      <w:start w:val="1"/>
      <w:numFmt w:val="bullet"/>
      <w:lvlText w:val="•"/>
      <w:lvlJc w:val="left"/>
      <w:pPr>
        <w:tabs>
          <w:tab w:val="num" w:pos="3600"/>
        </w:tabs>
        <w:ind w:left="3600" w:hanging="360"/>
      </w:pPr>
      <w:rPr>
        <w:rFonts w:ascii="Arial" w:hAnsi="Arial" w:hint="default"/>
      </w:rPr>
    </w:lvl>
    <w:lvl w:ilvl="5" w:tplc="3280ADEC" w:tentative="1">
      <w:start w:val="1"/>
      <w:numFmt w:val="bullet"/>
      <w:lvlText w:val="•"/>
      <w:lvlJc w:val="left"/>
      <w:pPr>
        <w:tabs>
          <w:tab w:val="num" w:pos="4320"/>
        </w:tabs>
        <w:ind w:left="4320" w:hanging="360"/>
      </w:pPr>
      <w:rPr>
        <w:rFonts w:ascii="Arial" w:hAnsi="Arial" w:hint="default"/>
      </w:rPr>
    </w:lvl>
    <w:lvl w:ilvl="6" w:tplc="CBA2BF86" w:tentative="1">
      <w:start w:val="1"/>
      <w:numFmt w:val="bullet"/>
      <w:lvlText w:val="•"/>
      <w:lvlJc w:val="left"/>
      <w:pPr>
        <w:tabs>
          <w:tab w:val="num" w:pos="5040"/>
        </w:tabs>
        <w:ind w:left="5040" w:hanging="360"/>
      </w:pPr>
      <w:rPr>
        <w:rFonts w:ascii="Arial" w:hAnsi="Arial" w:hint="default"/>
      </w:rPr>
    </w:lvl>
    <w:lvl w:ilvl="7" w:tplc="EB3858DA" w:tentative="1">
      <w:start w:val="1"/>
      <w:numFmt w:val="bullet"/>
      <w:lvlText w:val="•"/>
      <w:lvlJc w:val="left"/>
      <w:pPr>
        <w:tabs>
          <w:tab w:val="num" w:pos="5760"/>
        </w:tabs>
        <w:ind w:left="5760" w:hanging="360"/>
      </w:pPr>
      <w:rPr>
        <w:rFonts w:ascii="Arial" w:hAnsi="Arial" w:hint="default"/>
      </w:rPr>
    </w:lvl>
    <w:lvl w:ilvl="8" w:tplc="F540382E" w:tentative="1">
      <w:start w:val="1"/>
      <w:numFmt w:val="bullet"/>
      <w:lvlText w:val="•"/>
      <w:lvlJc w:val="left"/>
      <w:pPr>
        <w:tabs>
          <w:tab w:val="num" w:pos="6480"/>
        </w:tabs>
        <w:ind w:left="6480" w:hanging="360"/>
      </w:pPr>
      <w:rPr>
        <w:rFonts w:ascii="Arial" w:hAnsi="Arial" w:hint="default"/>
      </w:rPr>
    </w:lvl>
  </w:abstractNum>
  <w:abstractNum w:abstractNumId="23">
    <w:nsid w:val="4C1F1764"/>
    <w:multiLevelType w:val="multilevel"/>
    <w:tmpl w:val="1F74F6B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213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4">
    <w:nsid w:val="4C5928E5"/>
    <w:multiLevelType w:val="multilevel"/>
    <w:tmpl w:val="13D04EA8"/>
    <w:lvl w:ilvl="0">
      <w:start w:val="1"/>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00F028D"/>
    <w:multiLevelType w:val="multilevel"/>
    <w:tmpl w:val="2294064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6069A1"/>
    <w:multiLevelType w:val="hybridMultilevel"/>
    <w:tmpl w:val="F7F664DA"/>
    <w:lvl w:ilvl="0" w:tplc="80F0F84A">
      <w:start w:val="1"/>
      <w:numFmt w:val="decimal"/>
      <w:lvlText w:val="%1."/>
      <w:lvlJc w:val="left"/>
      <w:pPr>
        <w:ind w:left="720" w:hanging="360"/>
      </w:pPr>
      <w:rPr>
        <w:rFonts w:ascii="Times New Roman" w:eastAsia="Times New Roman"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AD6097C"/>
    <w:multiLevelType w:val="multilevel"/>
    <w:tmpl w:val="204C85E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nsid w:val="5BF6456C"/>
    <w:multiLevelType w:val="hybridMultilevel"/>
    <w:tmpl w:val="1CFA0F6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nsid w:val="5C382CEA"/>
    <w:multiLevelType w:val="hybridMultilevel"/>
    <w:tmpl w:val="CB0C315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D3342FF"/>
    <w:multiLevelType w:val="hybridMultilevel"/>
    <w:tmpl w:val="F940BD7A"/>
    <w:lvl w:ilvl="0" w:tplc="C67AD6D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5DAA10F5"/>
    <w:multiLevelType w:val="hybridMultilevel"/>
    <w:tmpl w:val="76CE2F8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6028232E"/>
    <w:multiLevelType w:val="multilevel"/>
    <w:tmpl w:val="AC9688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3190513"/>
    <w:multiLevelType w:val="hybridMultilevel"/>
    <w:tmpl w:val="A5FC6148"/>
    <w:lvl w:ilvl="0" w:tplc="04260011">
      <w:start w:val="1"/>
      <w:numFmt w:val="decimal"/>
      <w:lvlText w:val="%1)"/>
      <w:lvlJc w:val="left"/>
      <w:pPr>
        <w:tabs>
          <w:tab w:val="num" w:pos="360"/>
        </w:tabs>
        <w:ind w:left="360" w:hanging="360"/>
      </w:p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start w:val="1"/>
      <w:numFmt w:val="bullet"/>
      <w:lvlText w:val=""/>
      <w:lvlJc w:val="left"/>
      <w:pPr>
        <w:tabs>
          <w:tab w:val="num" w:pos="1800"/>
        </w:tabs>
        <w:ind w:left="1800" w:hanging="360"/>
      </w:pPr>
      <w:rPr>
        <w:rFonts w:ascii="Wingdings" w:hAnsi="Wingdings" w:hint="default"/>
      </w:rPr>
    </w:lvl>
    <w:lvl w:ilvl="3" w:tplc="04260001">
      <w:start w:val="1"/>
      <w:numFmt w:val="bullet"/>
      <w:lvlText w:val=""/>
      <w:lvlJc w:val="left"/>
      <w:pPr>
        <w:tabs>
          <w:tab w:val="num" w:pos="2520"/>
        </w:tabs>
        <w:ind w:left="2520" w:hanging="360"/>
      </w:pPr>
      <w:rPr>
        <w:rFonts w:ascii="Symbol" w:hAnsi="Symbol" w:hint="default"/>
      </w:rPr>
    </w:lvl>
    <w:lvl w:ilvl="4" w:tplc="04260003">
      <w:start w:val="1"/>
      <w:numFmt w:val="bullet"/>
      <w:lvlText w:val="o"/>
      <w:lvlJc w:val="left"/>
      <w:pPr>
        <w:tabs>
          <w:tab w:val="num" w:pos="3240"/>
        </w:tabs>
        <w:ind w:left="3240" w:hanging="360"/>
      </w:pPr>
      <w:rPr>
        <w:rFonts w:ascii="Courier New" w:hAnsi="Courier New" w:cs="Courier New" w:hint="default"/>
      </w:rPr>
    </w:lvl>
    <w:lvl w:ilvl="5" w:tplc="04260005">
      <w:start w:val="1"/>
      <w:numFmt w:val="bullet"/>
      <w:lvlText w:val=""/>
      <w:lvlJc w:val="left"/>
      <w:pPr>
        <w:tabs>
          <w:tab w:val="num" w:pos="3960"/>
        </w:tabs>
        <w:ind w:left="3960" w:hanging="360"/>
      </w:pPr>
      <w:rPr>
        <w:rFonts w:ascii="Wingdings" w:hAnsi="Wingdings" w:hint="default"/>
      </w:rPr>
    </w:lvl>
    <w:lvl w:ilvl="6" w:tplc="04260001">
      <w:start w:val="1"/>
      <w:numFmt w:val="bullet"/>
      <w:lvlText w:val=""/>
      <w:lvlJc w:val="left"/>
      <w:pPr>
        <w:tabs>
          <w:tab w:val="num" w:pos="4680"/>
        </w:tabs>
        <w:ind w:left="4680" w:hanging="360"/>
      </w:pPr>
      <w:rPr>
        <w:rFonts w:ascii="Symbol" w:hAnsi="Symbol" w:hint="default"/>
      </w:rPr>
    </w:lvl>
    <w:lvl w:ilvl="7" w:tplc="04260003">
      <w:start w:val="1"/>
      <w:numFmt w:val="bullet"/>
      <w:lvlText w:val="o"/>
      <w:lvlJc w:val="left"/>
      <w:pPr>
        <w:tabs>
          <w:tab w:val="num" w:pos="5400"/>
        </w:tabs>
        <w:ind w:left="5400" w:hanging="360"/>
      </w:pPr>
      <w:rPr>
        <w:rFonts w:ascii="Courier New" w:hAnsi="Courier New" w:cs="Courier New" w:hint="default"/>
      </w:rPr>
    </w:lvl>
    <w:lvl w:ilvl="8" w:tplc="04260005">
      <w:start w:val="1"/>
      <w:numFmt w:val="bullet"/>
      <w:lvlText w:val=""/>
      <w:lvlJc w:val="left"/>
      <w:pPr>
        <w:tabs>
          <w:tab w:val="num" w:pos="6120"/>
        </w:tabs>
        <w:ind w:left="6120" w:hanging="360"/>
      </w:pPr>
      <w:rPr>
        <w:rFonts w:ascii="Wingdings" w:hAnsi="Wingdings" w:hint="default"/>
      </w:rPr>
    </w:lvl>
  </w:abstractNum>
  <w:abstractNum w:abstractNumId="34">
    <w:nsid w:val="633C4E36"/>
    <w:multiLevelType w:val="hybridMultilevel"/>
    <w:tmpl w:val="4EA456CC"/>
    <w:lvl w:ilvl="0" w:tplc="04260017">
      <w:start w:val="1"/>
      <w:numFmt w:val="lowerLetter"/>
      <w:lvlText w:val="%1)"/>
      <w:lvlJc w:val="left"/>
      <w:pPr>
        <w:ind w:left="1506" w:hanging="360"/>
      </w:p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35">
    <w:nsid w:val="64637B27"/>
    <w:multiLevelType w:val="hybridMultilevel"/>
    <w:tmpl w:val="9806AD88"/>
    <w:lvl w:ilvl="0" w:tplc="08090011">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99E2710"/>
    <w:multiLevelType w:val="multilevel"/>
    <w:tmpl w:val="927048B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7">
    <w:nsid w:val="6A410E1D"/>
    <w:multiLevelType w:val="hybridMultilevel"/>
    <w:tmpl w:val="F5184B6C"/>
    <w:lvl w:ilvl="0" w:tplc="FC029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6F950577"/>
    <w:multiLevelType w:val="hybridMultilevel"/>
    <w:tmpl w:val="9BC43CA4"/>
    <w:lvl w:ilvl="0" w:tplc="08090017">
      <w:start w:val="1"/>
      <w:numFmt w:val="lowerLetter"/>
      <w:lvlText w:val="%1)"/>
      <w:lvlJc w:val="left"/>
      <w:pPr>
        <w:ind w:left="1515" w:hanging="360"/>
      </w:pPr>
      <w:rPr>
        <w:rFonts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39">
    <w:nsid w:val="71B868EF"/>
    <w:multiLevelType w:val="multilevel"/>
    <w:tmpl w:val="3FAC1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B671DE"/>
    <w:multiLevelType w:val="multilevel"/>
    <w:tmpl w:val="4BEC1DB4"/>
    <w:lvl w:ilvl="0">
      <w:start w:val="1"/>
      <w:numFmt w:val="decimal"/>
      <w:lvlText w:val="%1)"/>
      <w:lvlJc w:val="left"/>
      <w:pPr>
        <w:ind w:left="1069" w:hanging="360"/>
      </w:pPr>
    </w:lvl>
    <w:lvl w:ilvl="1">
      <w:start w:val="1"/>
      <w:numFmt w:val="decimal"/>
      <w:isLgl/>
      <w:lvlText w:val="%1.%2."/>
      <w:lvlJc w:val="left"/>
      <w:pPr>
        <w:ind w:left="213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1">
    <w:nsid w:val="78F2306A"/>
    <w:multiLevelType w:val="hybridMultilevel"/>
    <w:tmpl w:val="7680886A"/>
    <w:lvl w:ilvl="0" w:tplc="A91C08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nsid w:val="7A1F52AF"/>
    <w:multiLevelType w:val="hybridMultilevel"/>
    <w:tmpl w:val="23828ACC"/>
    <w:lvl w:ilvl="0" w:tplc="6832AF6A">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nsid w:val="7B0F52D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D253C77"/>
    <w:multiLevelType w:val="hybridMultilevel"/>
    <w:tmpl w:val="98DCA51A"/>
    <w:lvl w:ilvl="0" w:tplc="81DC52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1"/>
  </w:num>
  <w:num w:numId="2">
    <w:abstractNumId w:val="14"/>
  </w:num>
  <w:num w:numId="3">
    <w:abstractNumId w:val="16"/>
  </w:num>
  <w:num w:numId="4">
    <w:abstractNumId w:val="2"/>
  </w:num>
  <w:num w:numId="5">
    <w:abstractNumId w:val="44"/>
  </w:num>
  <w:num w:numId="6">
    <w:abstractNumId w:val="41"/>
  </w:num>
  <w:num w:numId="7">
    <w:abstractNumId w:val="16"/>
    <w:lvlOverride w:ilvl="0">
      <w:startOverride w:val="1"/>
    </w:lvlOverride>
    <w:lvlOverride w:ilvl="1">
      <w:startOverride w:val="2"/>
    </w:lvlOverride>
    <w:lvlOverride w:ilvl="2">
      <w:startOverride w:val="5"/>
    </w:lvlOverride>
  </w:num>
  <w:num w:numId="8">
    <w:abstractNumId w:val="7"/>
  </w:num>
  <w:num w:numId="9">
    <w:abstractNumId w:val="16"/>
    <w:lvlOverride w:ilvl="0">
      <w:startOverride w:val="3"/>
    </w:lvlOverride>
    <w:lvlOverride w:ilvl="1">
      <w:startOverride w:val="1"/>
    </w:lvlOverride>
  </w:num>
  <w:num w:numId="10">
    <w:abstractNumId w:val="16"/>
  </w:num>
  <w:num w:numId="11">
    <w:abstractNumId w:val="1"/>
  </w:num>
  <w:num w:numId="12">
    <w:abstractNumId w:val="15"/>
  </w:num>
  <w:num w:numId="13">
    <w:abstractNumId w:val="30"/>
  </w:num>
  <w:num w:numId="14">
    <w:abstractNumId w:val="23"/>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39"/>
  </w:num>
  <w:num w:numId="17">
    <w:abstractNumId w:val="26"/>
  </w:num>
  <w:num w:numId="18">
    <w:abstractNumId w:val="28"/>
  </w:num>
  <w:num w:numId="19">
    <w:abstractNumId w:val="33"/>
  </w:num>
  <w:num w:numId="20">
    <w:abstractNumId w:val="0"/>
  </w:num>
  <w:num w:numId="21">
    <w:abstractNumId w:val="10"/>
  </w:num>
  <w:num w:numId="22">
    <w:abstractNumId w:val="37"/>
  </w:num>
  <w:num w:numId="23">
    <w:abstractNumId w:val="18"/>
  </w:num>
  <w:num w:numId="24">
    <w:abstractNumId w:val="22"/>
  </w:num>
  <w:num w:numId="25">
    <w:abstractNumId w:val="4"/>
  </w:num>
  <w:num w:numId="2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4"/>
  </w:num>
  <w:num w:numId="29">
    <w:abstractNumId w:val="6"/>
  </w:num>
  <w:num w:numId="30">
    <w:abstractNumId w:val="29"/>
  </w:num>
  <w:num w:numId="31">
    <w:abstractNumId w:val="3"/>
  </w:num>
  <w:num w:numId="32">
    <w:abstractNumId w:val="43"/>
  </w:num>
  <w:num w:numId="33">
    <w:abstractNumId w:val="20"/>
  </w:num>
  <w:num w:numId="34">
    <w:abstractNumId w:val="19"/>
  </w:num>
  <w:num w:numId="35">
    <w:abstractNumId w:val="32"/>
  </w:num>
  <w:num w:numId="36">
    <w:abstractNumId w:val="34"/>
  </w:num>
  <w:num w:numId="37">
    <w:abstractNumId w:val="31"/>
  </w:num>
  <w:num w:numId="38">
    <w:abstractNumId w:val="40"/>
  </w:num>
  <w:num w:numId="39">
    <w:abstractNumId w:val="35"/>
  </w:num>
  <w:num w:numId="40">
    <w:abstractNumId w:val="11"/>
  </w:num>
  <w:num w:numId="41">
    <w:abstractNumId w:val="27"/>
  </w:num>
  <w:num w:numId="42">
    <w:abstractNumId w:val="38"/>
  </w:num>
  <w:num w:numId="43">
    <w:abstractNumId w:val="9"/>
  </w:num>
  <w:num w:numId="44">
    <w:abstractNumId w:val="8"/>
  </w:num>
  <w:num w:numId="45">
    <w:abstractNumId w:val="25"/>
  </w:num>
  <w:num w:numId="46">
    <w:abstractNumId w:val="5"/>
  </w:num>
  <w:num w:numId="47">
    <w:abstractNumId w:val="13"/>
  </w:num>
  <w:num w:numId="48">
    <w:abstractNumId w:val="12"/>
  </w:num>
  <w:num w:numId="49">
    <w:abstractNumId w:val="4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21"/>
    <w:rsid w:val="000022A6"/>
    <w:rsid w:val="00004800"/>
    <w:rsid w:val="00007B61"/>
    <w:rsid w:val="00012767"/>
    <w:rsid w:val="000139AA"/>
    <w:rsid w:val="0001456A"/>
    <w:rsid w:val="00014AC0"/>
    <w:rsid w:val="00014E6D"/>
    <w:rsid w:val="00015E2D"/>
    <w:rsid w:val="00016728"/>
    <w:rsid w:val="00017CF4"/>
    <w:rsid w:val="00021B38"/>
    <w:rsid w:val="000234D3"/>
    <w:rsid w:val="00023F5B"/>
    <w:rsid w:val="0002694F"/>
    <w:rsid w:val="0002718B"/>
    <w:rsid w:val="00027657"/>
    <w:rsid w:val="0003076E"/>
    <w:rsid w:val="0003216A"/>
    <w:rsid w:val="00035408"/>
    <w:rsid w:val="000355BD"/>
    <w:rsid w:val="00035D04"/>
    <w:rsid w:val="00036D59"/>
    <w:rsid w:val="00040CD5"/>
    <w:rsid w:val="000419C7"/>
    <w:rsid w:val="00042D25"/>
    <w:rsid w:val="00047471"/>
    <w:rsid w:val="00047545"/>
    <w:rsid w:val="00050894"/>
    <w:rsid w:val="00052492"/>
    <w:rsid w:val="00052A09"/>
    <w:rsid w:val="00052E35"/>
    <w:rsid w:val="000602D6"/>
    <w:rsid w:val="000604A8"/>
    <w:rsid w:val="00061881"/>
    <w:rsid w:val="00065792"/>
    <w:rsid w:val="00066FC3"/>
    <w:rsid w:val="000704B2"/>
    <w:rsid w:val="00075622"/>
    <w:rsid w:val="00076E36"/>
    <w:rsid w:val="00077C39"/>
    <w:rsid w:val="00083887"/>
    <w:rsid w:val="00084B2F"/>
    <w:rsid w:val="00091DE8"/>
    <w:rsid w:val="00093FE7"/>
    <w:rsid w:val="00095C1C"/>
    <w:rsid w:val="00096D0A"/>
    <w:rsid w:val="00097D4A"/>
    <w:rsid w:val="000A003F"/>
    <w:rsid w:val="000A075D"/>
    <w:rsid w:val="000A365A"/>
    <w:rsid w:val="000A7045"/>
    <w:rsid w:val="000B107C"/>
    <w:rsid w:val="000B57F2"/>
    <w:rsid w:val="000C07CB"/>
    <w:rsid w:val="000C1649"/>
    <w:rsid w:val="000C242E"/>
    <w:rsid w:val="000C520A"/>
    <w:rsid w:val="000C7316"/>
    <w:rsid w:val="000D157E"/>
    <w:rsid w:val="000D3FF5"/>
    <w:rsid w:val="000E4A2F"/>
    <w:rsid w:val="000E793F"/>
    <w:rsid w:val="000E7D38"/>
    <w:rsid w:val="000F114E"/>
    <w:rsid w:val="000F6072"/>
    <w:rsid w:val="000F6F9A"/>
    <w:rsid w:val="000F7371"/>
    <w:rsid w:val="000F7FFA"/>
    <w:rsid w:val="00101A31"/>
    <w:rsid w:val="00101F9B"/>
    <w:rsid w:val="001034B4"/>
    <w:rsid w:val="00103785"/>
    <w:rsid w:val="00103CB2"/>
    <w:rsid w:val="00104825"/>
    <w:rsid w:val="00104DFB"/>
    <w:rsid w:val="00105653"/>
    <w:rsid w:val="00105BA4"/>
    <w:rsid w:val="0010671A"/>
    <w:rsid w:val="00110527"/>
    <w:rsid w:val="001144B0"/>
    <w:rsid w:val="00116636"/>
    <w:rsid w:val="00117764"/>
    <w:rsid w:val="00120BEA"/>
    <w:rsid w:val="00121DB1"/>
    <w:rsid w:val="00126704"/>
    <w:rsid w:val="00127A51"/>
    <w:rsid w:val="00131BB9"/>
    <w:rsid w:val="00132A44"/>
    <w:rsid w:val="00132F08"/>
    <w:rsid w:val="00133874"/>
    <w:rsid w:val="00143D0F"/>
    <w:rsid w:val="00144B6E"/>
    <w:rsid w:val="001517B5"/>
    <w:rsid w:val="0015357B"/>
    <w:rsid w:val="001539CD"/>
    <w:rsid w:val="00155A00"/>
    <w:rsid w:val="00156C83"/>
    <w:rsid w:val="001650FA"/>
    <w:rsid w:val="0016537E"/>
    <w:rsid w:val="00170961"/>
    <w:rsid w:val="00170A2B"/>
    <w:rsid w:val="00170C68"/>
    <w:rsid w:val="00172613"/>
    <w:rsid w:val="00181847"/>
    <w:rsid w:val="0018435B"/>
    <w:rsid w:val="001868A6"/>
    <w:rsid w:val="00187178"/>
    <w:rsid w:val="001916CA"/>
    <w:rsid w:val="00196161"/>
    <w:rsid w:val="0019767D"/>
    <w:rsid w:val="001A0DE5"/>
    <w:rsid w:val="001A1511"/>
    <w:rsid w:val="001A6701"/>
    <w:rsid w:val="001B338D"/>
    <w:rsid w:val="001B5924"/>
    <w:rsid w:val="001C107E"/>
    <w:rsid w:val="001C6D58"/>
    <w:rsid w:val="001D00FB"/>
    <w:rsid w:val="001D2E6A"/>
    <w:rsid w:val="001D54F6"/>
    <w:rsid w:val="001D736D"/>
    <w:rsid w:val="001E1D49"/>
    <w:rsid w:val="001E4779"/>
    <w:rsid w:val="001E58DB"/>
    <w:rsid w:val="001E65FD"/>
    <w:rsid w:val="001E6A91"/>
    <w:rsid w:val="001E7489"/>
    <w:rsid w:val="001F1179"/>
    <w:rsid w:val="001F354B"/>
    <w:rsid w:val="001F4F4D"/>
    <w:rsid w:val="001F5D21"/>
    <w:rsid w:val="002006B5"/>
    <w:rsid w:val="00201889"/>
    <w:rsid w:val="00201FF5"/>
    <w:rsid w:val="002071E8"/>
    <w:rsid w:val="002079F7"/>
    <w:rsid w:val="002116B2"/>
    <w:rsid w:val="00212B90"/>
    <w:rsid w:val="002141EA"/>
    <w:rsid w:val="00216B5D"/>
    <w:rsid w:val="00216D49"/>
    <w:rsid w:val="002241C2"/>
    <w:rsid w:val="00227FC0"/>
    <w:rsid w:val="002314E4"/>
    <w:rsid w:val="002316A0"/>
    <w:rsid w:val="002377B3"/>
    <w:rsid w:val="00241F3B"/>
    <w:rsid w:val="00244A23"/>
    <w:rsid w:val="00247702"/>
    <w:rsid w:val="00247FBA"/>
    <w:rsid w:val="00250916"/>
    <w:rsid w:val="002517EB"/>
    <w:rsid w:val="00251A2F"/>
    <w:rsid w:val="002536D1"/>
    <w:rsid w:val="002540CB"/>
    <w:rsid w:val="00256F61"/>
    <w:rsid w:val="00257FA7"/>
    <w:rsid w:val="00261A00"/>
    <w:rsid w:val="0026259B"/>
    <w:rsid w:val="002705F6"/>
    <w:rsid w:val="0027062D"/>
    <w:rsid w:val="002709AE"/>
    <w:rsid w:val="00276148"/>
    <w:rsid w:val="00280C27"/>
    <w:rsid w:val="00284658"/>
    <w:rsid w:val="00290D7A"/>
    <w:rsid w:val="00291510"/>
    <w:rsid w:val="0029243D"/>
    <w:rsid w:val="002973D1"/>
    <w:rsid w:val="00297751"/>
    <w:rsid w:val="00297EEE"/>
    <w:rsid w:val="002A188B"/>
    <w:rsid w:val="002A189B"/>
    <w:rsid w:val="002A7150"/>
    <w:rsid w:val="002A7FC7"/>
    <w:rsid w:val="002B1CDF"/>
    <w:rsid w:val="002B1EE1"/>
    <w:rsid w:val="002B2614"/>
    <w:rsid w:val="002B32B7"/>
    <w:rsid w:val="002B492E"/>
    <w:rsid w:val="002B4980"/>
    <w:rsid w:val="002B5565"/>
    <w:rsid w:val="002B6216"/>
    <w:rsid w:val="002C219C"/>
    <w:rsid w:val="002C298A"/>
    <w:rsid w:val="002C4E7D"/>
    <w:rsid w:val="002C5A6E"/>
    <w:rsid w:val="002C654E"/>
    <w:rsid w:val="002C6F7A"/>
    <w:rsid w:val="002C7DB4"/>
    <w:rsid w:val="002D1732"/>
    <w:rsid w:val="002D1BF5"/>
    <w:rsid w:val="002D31BF"/>
    <w:rsid w:val="002D3DB1"/>
    <w:rsid w:val="002D4837"/>
    <w:rsid w:val="002D4A45"/>
    <w:rsid w:val="002D7D57"/>
    <w:rsid w:val="002E2C19"/>
    <w:rsid w:val="002E4BFD"/>
    <w:rsid w:val="00304A73"/>
    <w:rsid w:val="00304AC0"/>
    <w:rsid w:val="0031051C"/>
    <w:rsid w:val="00311D66"/>
    <w:rsid w:val="00312C93"/>
    <w:rsid w:val="00312EE6"/>
    <w:rsid w:val="00323D3E"/>
    <w:rsid w:val="00323F1A"/>
    <w:rsid w:val="00326CBD"/>
    <w:rsid w:val="00334F9F"/>
    <w:rsid w:val="003354DA"/>
    <w:rsid w:val="003472D3"/>
    <w:rsid w:val="00347CBB"/>
    <w:rsid w:val="00350CF4"/>
    <w:rsid w:val="003554B9"/>
    <w:rsid w:val="00362CDF"/>
    <w:rsid w:val="00364A9C"/>
    <w:rsid w:val="00367D1C"/>
    <w:rsid w:val="00371AAC"/>
    <w:rsid w:val="00371D32"/>
    <w:rsid w:val="00372FE6"/>
    <w:rsid w:val="0037315E"/>
    <w:rsid w:val="00374676"/>
    <w:rsid w:val="00381ECB"/>
    <w:rsid w:val="003822BC"/>
    <w:rsid w:val="0038308C"/>
    <w:rsid w:val="0038447A"/>
    <w:rsid w:val="00386109"/>
    <w:rsid w:val="00386868"/>
    <w:rsid w:val="003868F7"/>
    <w:rsid w:val="00387FD8"/>
    <w:rsid w:val="003931B1"/>
    <w:rsid w:val="003A1281"/>
    <w:rsid w:val="003A33C2"/>
    <w:rsid w:val="003A42A3"/>
    <w:rsid w:val="003A58C4"/>
    <w:rsid w:val="003A7AA8"/>
    <w:rsid w:val="003B040F"/>
    <w:rsid w:val="003B1DAE"/>
    <w:rsid w:val="003B1E9E"/>
    <w:rsid w:val="003B3E57"/>
    <w:rsid w:val="003B4D45"/>
    <w:rsid w:val="003B4FCA"/>
    <w:rsid w:val="003C0146"/>
    <w:rsid w:val="003C0B54"/>
    <w:rsid w:val="003C40D3"/>
    <w:rsid w:val="003C467C"/>
    <w:rsid w:val="003C78EE"/>
    <w:rsid w:val="003D19E7"/>
    <w:rsid w:val="003D1B6F"/>
    <w:rsid w:val="003D1BE2"/>
    <w:rsid w:val="003D1CA2"/>
    <w:rsid w:val="003D4617"/>
    <w:rsid w:val="003D56B2"/>
    <w:rsid w:val="003D5735"/>
    <w:rsid w:val="003E1DCD"/>
    <w:rsid w:val="003E4288"/>
    <w:rsid w:val="003E4B80"/>
    <w:rsid w:val="003E4F96"/>
    <w:rsid w:val="003E4FD6"/>
    <w:rsid w:val="003E54DF"/>
    <w:rsid w:val="003E6392"/>
    <w:rsid w:val="003E78CE"/>
    <w:rsid w:val="003F1F02"/>
    <w:rsid w:val="003F259A"/>
    <w:rsid w:val="003F5338"/>
    <w:rsid w:val="003F598E"/>
    <w:rsid w:val="003F6196"/>
    <w:rsid w:val="003F759C"/>
    <w:rsid w:val="003F76B0"/>
    <w:rsid w:val="00404DF2"/>
    <w:rsid w:val="00404E45"/>
    <w:rsid w:val="00405190"/>
    <w:rsid w:val="00405ACA"/>
    <w:rsid w:val="00405BEB"/>
    <w:rsid w:val="0040602C"/>
    <w:rsid w:val="0040739D"/>
    <w:rsid w:val="004100A6"/>
    <w:rsid w:val="00410E03"/>
    <w:rsid w:val="00411D82"/>
    <w:rsid w:val="004141D5"/>
    <w:rsid w:val="00416D92"/>
    <w:rsid w:val="00424D30"/>
    <w:rsid w:val="0042500D"/>
    <w:rsid w:val="00425697"/>
    <w:rsid w:val="00425CC5"/>
    <w:rsid w:val="00427974"/>
    <w:rsid w:val="00430004"/>
    <w:rsid w:val="00430E63"/>
    <w:rsid w:val="004357C1"/>
    <w:rsid w:val="004357F8"/>
    <w:rsid w:val="004364A5"/>
    <w:rsid w:val="00436B91"/>
    <w:rsid w:val="00437629"/>
    <w:rsid w:val="004414F8"/>
    <w:rsid w:val="004447BE"/>
    <w:rsid w:val="00445DC5"/>
    <w:rsid w:val="0045437F"/>
    <w:rsid w:val="00454586"/>
    <w:rsid w:val="00455006"/>
    <w:rsid w:val="004552A6"/>
    <w:rsid w:val="00455C61"/>
    <w:rsid w:val="004569B2"/>
    <w:rsid w:val="00460E56"/>
    <w:rsid w:val="00464F6D"/>
    <w:rsid w:val="00466EDA"/>
    <w:rsid w:val="004709EE"/>
    <w:rsid w:val="00470C3F"/>
    <w:rsid w:val="00471DAC"/>
    <w:rsid w:val="00472162"/>
    <w:rsid w:val="00473576"/>
    <w:rsid w:val="004740FC"/>
    <w:rsid w:val="004779C5"/>
    <w:rsid w:val="00481838"/>
    <w:rsid w:val="00484992"/>
    <w:rsid w:val="0049169B"/>
    <w:rsid w:val="00491CB6"/>
    <w:rsid w:val="00496D17"/>
    <w:rsid w:val="004A3B84"/>
    <w:rsid w:val="004B0BFA"/>
    <w:rsid w:val="004B23CE"/>
    <w:rsid w:val="004B34E1"/>
    <w:rsid w:val="004C1186"/>
    <w:rsid w:val="004C3C7F"/>
    <w:rsid w:val="004C661F"/>
    <w:rsid w:val="004C7D56"/>
    <w:rsid w:val="004D0760"/>
    <w:rsid w:val="004D11AA"/>
    <w:rsid w:val="004D36CB"/>
    <w:rsid w:val="004D41A1"/>
    <w:rsid w:val="004D6DE8"/>
    <w:rsid w:val="004D73B9"/>
    <w:rsid w:val="004D7847"/>
    <w:rsid w:val="004E1F83"/>
    <w:rsid w:val="004E291C"/>
    <w:rsid w:val="004E3570"/>
    <w:rsid w:val="004E3D9E"/>
    <w:rsid w:val="004E3DDF"/>
    <w:rsid w:val="004E6E32"/>
    <w:rsid w:val="004F4040"/>
    <w:rsid w:val="004F4447"/>
    <w:rsid w:val="004F525C"/>
    <w:rsid w:val="004F7606"/>
    <w:rsid w:val="0050048F"/>
    <w:rsid w:val="00500F26"/>
    <w:rsid w:val="005031D5"/>
    <w:rsid w:val="00504918"/>
    <w:rsid w:val="00504B71"/>
    <w:rsid w:val="005054CA"/>
    <w:rsid w:val="00505AE9"/>
    <w:rsid w:val="00506C8C"/>
    <w:rsid w:val="0051002C"/>
    <w:rsid w:val="00510197"/>
    <w:rsid w:val="005107A4"/>
    <w:rsid w:val="00515CC1"/>
    <w:rsid w:val="00515DB9"/>
    <w:rsid w:val="00516781"/>
    <w:rsid w:val="00517B6E"/>
    <w:rsid w:val="005209F6"/>
    <w:rsid w:val="00523211"/>
    <w:rsid w:val="00523F0F"/>
    <w:rsid w:val="00530AD0"/>
    <w:rsid w:val="00530F93"/>
    <w:rsid w:val="0054185D"/>
    <w:rsid w:val="0054346E"/>
    <w:rsid w:val="005454A3"/>
    <w:rsid w:val="00546311"/>
    <w:rsid w:val="005515B7"/>
    <w:rsid w:val="0055396E"/>
    <w:rsid w:val="00554A06"/>
    <w:rsid w:val="00554D43"/>
    <w:rsid w:val="0055587E"/>
    <w:rsid w:val="00560042"/>
    <w:rsid w:val="00562F9D"/>
    <w:rsid w:val="005710B3"/>
    <w:rsid w:val="005757E1"/>
    <w:rsid w:val="00575EAD"/>
    <w:rsid w:val="00576D4A"/>
    <w:rsid w:val="005805CE"/>
    <w:rsid w:val="00580844"/>
    <w:rsid w:val="00582DE3"/>
    <w:rsid w:val="00584DC9"/>
    <w:rsid w:val="00587D7F"/>
    <w:rsid w:val="005916C6"/>
    <w:rsid w:val="0059273F"/>
    <w:rsid w:val="00592976"/>
    <w:rsid w:val="00593B6A"/>
    <w:rsid w:val="00596C3E"/>
    <w:rsid w:val="005A11F2"/>
    <w:rsid w:val="005A32E0"/>
    <w:rsid w:val="005B44A4"/>
    <w:rsid w:val="005C243A"/>
    <w:rsid w:val="005C487B"/>
    <w:rsid w:val="005C6994"/>
    <w:rsid w:val="005C7A81"/>
    <w:rsid w:val="005D1A8B"/>
    <w:rsid w:val="005D255D"/>
    <w:rsid w:val="005D3F00"/>
    <w:rsid w:val="005D6191"/>
    <w:rsid w:val="005D65E4"/>
    <w:rsid w:val="005D767E"/>
    <w:rsid w:val="005E10BD"/>
    <w:rsid w:val="005E10DE"/>
    <w:rsid w:val="005E1584"/>
    <w:rsid w:val="005E247D"/>
    <w:rsid w:val="005E38A6"/>
    <w:rsid w:val="005E453D"/>
    <w:rsid w:val="005E5024"/>
    <w:rsid w:val="005E5A17"/>
    <w:rsid w:val="005E6C18"/>
    <w:rsid w:val="005F0792"/>
    <w:rsid w:val="005F2ECE"/>
    <w:rsid w:val="005F387F"/>
    <w:rsid w:val="005F4F7D"/>
    <w:rsid w:val="005F5463"/>
    <w:rsid w:val="005F6624"/>
    <w:rsid w:val="005F673D"/>
    <w:rsid w:val="005F70C5"/>
    <w:rsid w:val="006019F3"/>
    <w:rsid w:val="00602096"/>
    <w:rsid w:val="0060286B"/>
    <w:rsid w:val="006031C1"/>
    <w:rsid w:val="00603302"/>
    <w:rsid w:val="006036EE"/>
    <w:rsid w:val="006076EC"/>
    <w:rsid w:val="006122A1"/>
    <w:rsid w:val="00612554"/>
    <w:rsid w:val="00615293"/>
    <w:rsid w:val="006174A2"/>
    <w:rsid w:val="00620647"/>
    <w:rsid w:val="00623089"/>
    <w:rsid w:val="00623805"/>
    <w:rsid w:val="00624A80"/>
    <w:rsid w:val="00626DEE"/>
    <w:rsid w:val="0062722C"/>
    <w:rsid w:val="00627C4B"/>
    <w:rsid w:val="00627D7F"/>
    <w:rsid w:val="0063051C"/>
    <w:rsid w:val="00630D07"/>
    <w:rsid w:val="006349C5"/>
    <w:rsid w:val="0063654A"/>
    <w:rsid w:val="00637358"/>
    <w:rsid w:val="00643617"/>
    <w:rsid w:val="00643A4D"/>
    <w:rsid w:val="00646120"/>
    <w:rsid w:val="00646C98"/>
    <w:rsid w:val="00647022"/>
    <w:rsid w:val="00647BF7"/>
    <w:rsid w:val="00651CFA"/>
    <w:rsid w:val="00651E1A"/>
    <w:rsid w:val="006536E8"/>
    <w:rsid w:val="00654AD7"/>
    <w:rsid w:val="00654F41"/>
    <w:rsid w:val="00655F0C"/>
    <w:rsid w:val="00656545"/>
    <w:rsid w:val="0065745C"/>
    <w:rsid w:val="00661594"/>
    <w:rsid w:val="00663C30"/>
    <w:rsid w:val="00665E8D"/>
    <w:rsid w:val="00667101"/>
    <w:rsid w:val="00670A2E"/>
    <w:rsid w:val="0067384E"/>
    <w:rsid w:val="00673E41"/>
    <w:rsid w:val="00677272"/>
    <w:rsid w:val="00680416"/>
    <w:rsid w:val="00680EDC"/>
    <w:rsid w:val="006855B5"/>
    <w:rsid w:val="00685966"/>
    <w:rsid w:val="006866A7"/>
    <w:rsid w:val="00686E5B"/>
    <w:rsid w:val="006909A7"/>
    <w:rsid w:val="00691BEC"/>
    <w:rsid w:val="00692C8C"/>
    <w:rsid w:val="006945C6"/>
    <w:rsid w:val="00696080"/>
    <w:rsid w:val="00697F13"/>
    <w:rsid w:val="006A200D"/>
    <w:rsid w:val="006A25A2"/>
    <w:rsid w:val="006A2AC1"/>
    <w:rsid w:val="006A2D93"/>
    <w:rsid w:val="006A3C49"/>
    <w:rsid w:val="006A4805"/>
    <w:rsid w:val="006A7B57"/>
    <w:rsid w:val="006B1938"/>
    <w:rsid w:val="006B2C19"/>
    <w:rsid w:val="006B515F"/>
    <w:rsid w:val="006B6145"/>
    <w:rsid w:val="006B62F2"/>
    <w:rsid w:val="006B669C"/>
    <w:rsid w:val="006B686E"/>
    <w:rsid w:val="006C0672"/>
    <w:rsid w:val="006C0E6B"/>
    <w:rsid w:val="006C3983"/>
    <w:rsid w:val="006D020D"/>
    <w:rsid w:val="006D4E04"/>
    <w:rsid w:val="006D4FB9"/>
    <w:rsid w:val="006E097A"/>
    <w:rsid w:val="006E30BC"/>
    <w:rsid w:val="006E465B"/>
    <w:rsid w:val="006E6430"/>
    <w:rsid w:val="006F13CA"/>
    <w:rsid w:val="006F3A08"/>
    <w:rsid w:val="006F6F1A"/>
    <w:rsid w:val="00703700"/>
    <w:rsid w:val="0070428F"/>
    <w:rsid w:val="0071124B"/>
    <w:rsid w:val="007122D5"/>
    <w:rsid w:val="00713C98"/>
    <w:rsid w:val="007162DD"/>
    <w:rsid w:val="00716A43"/>
    <w:rsid w:val="0072136C"/>
    <w:rsid w:val="0072145F"/>
    <w:rsid w:val="00731433"/>
    <w:rsid w:val="00732538"/>
    <w:rsid w:val="00734877"/>
    <w:rsid w:val="00735A49"/>
    <w:rsid w:val="00737699"/>
    <w:rsid w:val="00740173"/>
    <w:rsid w:val="00742B7E"/>
    <w:rsid w:val="00743C8E"/>
    <w:rsid w:val="007462A1"/>
    <w:rsid w:val="007465AA"/>
    <w:rsid w:val="007474B0"/>
    <w:rsid w:val="00747E14"/>
    <w:rsid w:val="0075292E"/>
    <w:rsid w:val="00754B84"/>
    <w:rsid w:val="00763127"/>
    <w:rsid w:val="007668EC"/>
    <w:rsid w:val="007675F1"/>
    <w:rsid w:val="00767B10"/>
    <w:rsid w:val="007705F2"/>
    <w:rsid w:val="00770A8A"/>
    <w:rsid w:val="00770E58"/>
    <w:rsid w:val="00771391"/>
    <w:rsid w:val="00772A91"/>
    <w:rsid w:val="00772BA6"/>
    <w:rsid w:val="00774010"/>
    <w:rsid w:val="00774B08"/>
    <w:rsid w:val="00775D4F"/>
    <w:rsid w:val="0077702B"/>
    <w:rsid w:val="00780712"/>
    <w:rsid w:val="00782CDE"/>
    <w:rsid w:val="0078621F"/>
    <w:rsid w:val="00787481"/>
    <w:rsid w:val="007921C8"/>
    <w:rsid w:val="007A18A3"/>
    <w:rsid w:val="007A2161"/>
    <w:rsid w:val="007A5BA3"/>
    <w:rsid w:val="007B38E0"/>
    <w:rsid w:val="007B4375"/>
    <w:rsid w:val="007B66DA"/>
    <w:rsid w:val="007C189D"/>
    <w:rsid w:val="007C1993"/>
    <w:rsid w:val="007C35F4"/>
    <w:rsid w:val="007C40D2"/>
    <w:rsid w:val="007C5C27"/>
    <w:rsid w:val="007C68B5"/>
    <w:rsid w:val="007D016B"/>
    <w:rsid w:val="007D144C"/>
    <w:rsid w:val="007D2CC9"/>
    <w:rsid w:val="007D51BD"/>
    <w:rsid w:val="007D686E"/>
    <w:rsid w:val="007E0C2D"/>
    <w:rsid w:val="007E2A8F"/>
    <w:rsid w:val="007E2C1E"/>
    <w:rsid w:val="007E550D"/>
    <w:rsid w:val="007E68E1"/>
    <w:rsid w:val="007E79DE"/>
    <w:rsid w:val="007F3892"/>
    <w:rsid w:val="007F67AC"/>
    <w:rsid w:val="00800234"/>
    <w:rsid w:val="00800480"/>
    <w:rsid w:val="008017F1"/>
    <w:rsid w:val="00801BEB"/>
    <w:rsid w:val="00803B82"/>
    <w:rsid w:val="008050AC"/>
    <w:rsid w:val="00811BA7"/>
    <w:rsid w:val="00813823"/>
    <w:rsid w:val="008138DE"/>
    <w:rsid w:val="00813A6E"/>
    <w:rsid w:val="00815425"/>
    <w:rsid w:val="00820BD8"/>
    <w:rsid w:val="0082678E"/>
    <w:rsid w:val="008346BF"/>
    <w:rsid w:val="0083563B"/>
    <w:rsid w:val="00837AD4"/>
    <w:rsid w:val="00842ED5"/>
    <w:rsid w:val="00844D42"/>
    <w:rsid w:val="008455C4"/>
    <w:rsid w:val="00847AD2"/>
    <w:rsid w:val="00851080"/>
    <w:rsid w:val="00854E0E"/>
    <w:rsid w:val="008553B1"/>
    <w:rsid w:val="00857451"/>
    <w:rsid w:val="00857B1D"/>
    <w:rsid w:val="008606B5"/>
    <w:rsid w:val="00860ABF"/>
    <w:rsid w:val="00866197"/>
    <w:rsid w:val="0086650C"/>
    <w:rsid w:val="00872FAA"/>
    <w:rsid w:val="00873254"/>
    <w:rsid w:val="00875143"/>
    <w:rsid w:val="00876811"/>
    <w:rsid w:val="00880A1E"/>
    <w:rsid w:val="0088107B"/>
    <w:rsid w:val="00882731"/>
    <w:rsid w:val="008827A4"/>
    <w:rsid w:val="0088651E"/>
    <w:rsid w:val="00887805"/>
    <w:rsid w:val="00891063"/>
    <w:rsid w:val="00893B6C"/>
    <w:rsid w:val="00897C71"/>
    <w:rsid w:val="008A1277"/>
    <w:rsid w:val="008B183F"/>
    <w:rsid w:val="008B3B24"/>
    <w:rsid w:val="008B49C3"/>
    <w:rsid w:val="008B7E1E"/>
    <w:rsid w:val="008C033F"/>
    <w:rsid w:val="008C0474"/>
    <w:rsid w:val="008C1D62"/>
    <w:rsid w:val="008C2DB5"/>
    <w:rsid w:val="008C3F90"/>
    <w:rsid w:val="008D047D"/>
    <w:rsid w:val="008D0D5C"/>
    <w:rsid w:val="008D1E76"/>
    <w:rsid w:val="008D3ABA"/>
    <w:rsid w:val="008D43B9"/>
    <w:rsid w:val="008D60B6"/>
    <w:rsid w:val="008D6A22"/>
    <w:rsid w:val="008D6A73"/>
    <w:rsid w:val="008D784B"/>
    <w:rsid w:val="008E19F5"/>
    <w:rsid w:val="008E2502"/>
    <w:rsid w:val="008E4615"/>
    <w:rsid w:val="008E645A"/>
    <w:rsid w:val="008E7264"/>
    <w:rsid w:val="008F17B2"/>
    <w:rsid w:val="008F2416"/>
    <w:rsid w:val="008F43CA"/>
    <w:rsid w:val="008F4474"/>
    <w:rsid w:val="008F5449"/>
    <w:rsid w:val="008F5955"/>
    <w:rsid w:val="008F7688"/>
    <w:rsid w:val="008F7F53"/>
    <w:rsid w:val="009000C3"/>
    <w:rsid w:val="00902CC7"/>
    <w:rsid w:val="00904160"/>
    <w:rsid w:val="00904C67"/>
    <w:rsid w:val="00906933"/>
    <w:rsid w:val="00912A8F"/>
    <w:rsid w:val="00913B6E"/>
    <w:rsid w:val="00914A9F"/>
    <w:rsid w:val="00914C18"/>
    <w:rsid w:val="00916745"/>
    <w:rsid w:val="00917011"/>
    <w:rsid w:val="0092130B"/>
    <w:rsid w:val="00921B3C"/>
    <w:rsid w:val="009243DE"/>
    <w:rsid w:val="009246BE"/>
    <w:rsid w:val="00927F61"/>
    <w:rsid w:val="00930116"/>
    <w:rsid w:val="00930350"/>
    <w:rsid w:val="00935622"/>
    <w:rsid w:val="00935CCB"/>
    <w:rsid w:val="009368BD"/>
    <w:rsid w:val="0093722A"/>
    <w:rsid w:val="009378C7"/>
    <w:rsid w:val="00937B3B"/>
    <w:rsid w:val="0094056C"/>
    <w:rsid w:val="00940977"/>
    <w:rsid w:val="00941918"/>
    <w:rsid w:val="009419D1"/>
    <w:rsid w:val="00943228"/>
    <w:rsid w:val="00945333"/>
    <w:rsid w:val="00947998"/>
    <w:rsid w:val="00953916"/>
    <w:rsid w:val="00964ADE"/>
    <w:rsid w:val="00965849"/>
    <w:rsid w:val="009669F2"/>
    <w:rsid w:val="0097133B"/>
    <w:rsid w:val="00972DC3"/>
    <w:rsid w:val="00973D94"/>
    <w:rsid w:val="00975812"/>
    <w:rsid w:val="00981677"/>
    <w:rsid w:val="0099119C"/>
    <w:rsid w:val="00996196"/>
    <w:rsid w:val="0099634D"/>
    <w:rsid w:val="00997FE8"/>
    <w:rsid w:val="009A2E92"/>
    <w:rsid w:val="009A3907"/>
    <w:rsid w:val="009A546B"/>
    <w:rsid w:val="009A58F6"/>
    <w:rsid w:val="009A6202"/>
    <w:rsid w:val="009A6771"/>
    <w:rsid w:val="009B1CB3"/>
    <w:rsid w:val="009B315A"/>
    <w:rsid w:val="009B3F30"/>
    <w:rsid w:val="009C0389"/>
    <w:rsid w:val="009C03A8"/>
    <w:rsid w:val="009C0741"/>
    <w:rsid w:val="009C19FE"/>
    <w:rsid w:val="009C3F34"/>
    <w:rsid w:val="009C4B21"/>
    <w:rsid w:val="009C6EE2"/>
    <w:rsid w:val="009D0FCB"/>
    <w:rsid w:val="009D11B1"/>
    <w:rsid w:val="009D2BE6"/>
    <w:rsid w:val="009D2CE7"/>
    <w:rsid w:val="009D5F6C"/>
    <w:rsid w:val="009D71D8"/>
    <w:rsid w:val="009E07C9"/>
    <w:rsid w:val="009E245D"/>
    <w:rsid w:val="009F3785"/>
    <w:rsid w:val="009F5651"/>
    <w:rsid w:val="009F622E"/>
    <w:rsid w:val="009F6546"/>
    <w:rsid w:val="009F65B7"/>
    <w:rsid w:val="00A0201E"/>
    <w:rsid w:val="00A05E98"/>
    <w:rsid w:val="00A06F1C"/>
    <w:rsid w:val="00A1107C"/>
    <w:rsid w:val="00A11D6B"/>
    <w:rsid w:val="00A1237D"/>
    <w:rsid w:val="00A21932"/>
    <w:rsid w:val="00A22DBE"/>
    <w:rsid w:val="00A25504"/>
    <w:rsid w:val="00A25AE9"/>
    <w:rsid w:val="00A26FD1"/>
    <w:rsid w:val="00A31F2E"/>
    <w:rsid w:val="00A3258A"/>
    <w:rsid w:val="00A401B8"/>
    <w:rsid w:val="00A40EAA"/>
    <w:rsid w:val="00A41465"/>
    <w:rsid w:val="00A43CBF"/>
    <w:rsid w:val="00A46E85"/>
    <w:rsid w:val="00A501EF"/>
    <w:rsid w:val="00A513BC"/>
    <w:rsid w:val="00A540A6"/>
    <w:rsid w:val="00A55261"/>
    <w:rsid w:val="00A556D9"/>
    <w:rsid w:val="00A563C0"/>
    <w:rsid w:val="00A565B7"/>
    <w:rsid w:val="00A60B29"/>
    <w:rsid w:val="00A616EF"/>
    <w:rsid w:val="00A631E7"/>
    <w:rsid w:val="00A64378"/>
    <w:rsid w:val="00A6495B"/>
    <w:rsid w:val="00A662B3"/>
    <w:rsid w:val="00A66D66"/>
    <w:rsid w:val="00A66FD4"/>
    <w:rsid w:val="00A67028"/>
    <w:rsid w:val="00A71F97"/>
    <w:rsid w:val="00A7594F"/>
    <w:rsid w:val="00A75B16"/>
    <w:rsid w:val="00A77704"/>
    <w:rsid w:val="00A77D32"/>
    <w:rsid w:val="00A77F6C"/>
    <w:rsid w:val="00A82477"/>
    <w:rsid w:val="00A83E77"/>
    <w:rsid w:val="00A84216"/>
    <w:rsid w:val="00A85049"/>
    <w:rsid w:val="00A92A95"/>
    <w:rsid w:val="00A92CFC"/>
    <w:rsid w:val="00A95772"/>
    <w:rsid w:val="00AA2ABB"/>
    <w:rsid w:val="00AA368A"/>
    <w:rsid w:val="00AA3EB8"/>
    <w:rsid w:val="00AA4258"/>
    <w:rsid w:val="00AA51C6"/>
    <w:rsid w:val="00AA7329"/>
    <w:rsid w:val="00AB03AB"/>
    <w:rsid w:val="00AB1750"/>
    <w:rsid w:val="00AB4CAD"/>
    <w:rsid w:val="00AB58BB"/>
    <w:rsid w:val="00AB6061"/>
    <w:rsid w:val="00AB6372"/>
    <w:rsid w:val="00AB7A7B"/>
    <w:rsid w:val="00AC0732"/>
    <w:rsid w:val="00AC1FF0"/>
    <w:rsid w:val="00AC6A04"/>
    <w:rsid w:val="00AC6F42"/>
    <w:rsid w:val="00AD1970"/>
    <w:rsid w:val="00AD3594"/>
    <w:rsid w:val="00AD4D88"/>
    <w:rsid w:val="00AD51D7"/>
    <w:rsid w:val="00AE16FE"/>
    <w:rsid w:val="00AE5F1F"/>
    <w:rsid w:val="00AF10D2"/>
    <w:rsid w:val="00AF15F9"/>
    <w:rsid w:val="00AF43BD"/>
    <w:rsid w:val="00AF54D9"/>
    <w:rsid w:val="00AF5AE9"/>
    <w:rsid w:val="00AF72E9"/>
    <w:rsid w:val="00B00512"/>
    <w:rsid w:val="00B030B0"/>
    <w:rsid w:val="00B03F2E"/>
    <w:rsid w:val="00B05E40"/>
    <w:rsid w:val="00B07DE7"/>
    <w:rsid w:val="00B11745"/>
    <w:rsid w:val="00B134AA"/>
    <w:rsid w:val="00B14B39"/>
    <w:rsid w:val="00B1558F"/>
    <w:rsid w:val="00B15CE3"/>
    <w:rsid w:val="00B162A2"/>
    <w:rsid w:val="00B22488"/>
    <w:rsid w:val="00B23E85"/>
    <w:rsid w:val="00B2634F"/>
    <w:rsid w:val="00B2781E"/>
    <w:rsid w:val="00B31719"/>
    <w:rsid w:val="00B34B94"/>
    <w:rsid w:val="00B362A6"/>
    <w:rsid w:val="00B37215"/>
    <w:rsid w:val="00B406C7"/>
    <w:rsid w:val="00B4275C"/>
    <w:rsid w:val="00B42AC9"/>
    <w:rsid w:val="00B479AA"/>
    <w:rsid w:val="00B52202"/>
    <w:rsid w:val="00B52F72"/>
    <w:rsid w:val="00B53054"/>
    <w:rsid w:val="00B54295"/>
    <w:rsid w:val="00B568EC"/>
    <w:rsid w:val="00B6085F"/>
    <w:rsid w:val="00B620B9"/>
    <w:rsid w:val="00B623F4"/>
    <w:rsid w:val="00B64FF7"/>
    <w:rsid w:val="00B66F7E"/>
    <w:rsid w:val="00B70AEB"/>
    <w:rsid w:val="00B723D8"/>
    <w:rsid w:val="00B740A6"/>
    <w:rsid w:val="00B757B1"/>
    <w:rsid w:val="00B766E2"/>
    <w:rsid w:val="00B76BB0"/>
    <w:rsid w:val="00B771D2"/>
    <w:rsid w:val="00B809B2"/>
    <w:rsid w:val="00B82503"/>
    <w:rsid w:val="00B85196"/>
    <w:rsid w:val="00B86B4F"/>
    <w:rsid w:val="00B938E9"/>
    <w:rsid w:val="00B940E8"/>
    <w:rsid w:val="00B94EF1"/>
    <w:rsid w:val="00B9524C"/>
    <w:rsid w:val="00BA3D62"/>
    <w:rsid w:val="00BA7C7C"/>
    <w:rsid w:val="00BB0D34"/>
    <w:rsid w:val="00BB16B4"/>
    <w:rsid w:val="00BB5F64"/>
    <w:rsid w:val="00BB5FB0"/>
    <w:rsid w:val="00BB61F6"/>
    <w:rsid w:val="00BB63C6"/>
    <w:rsid w:val="00BC0D5B"/>
    <w:rsid w:val="00BC1F81"/>
    <w:rsid w:val="00BC2EB9"/>
    <w:rsid w:val="00BC2F07"/>
    <w:rsid w:val="00BC3036"/>
    <w:rsid w:val="00BC54EC"/>
    <w:rsid w:val="00BC65F4"/>
    <w:rsid w:val="00BC6C19"/>
    <w:rsid w:val="00BC7CCE"/>
    <w:rsid w:val="00BD1953"/>
    <w:rsid w:val="00BD1F2D"/>
    <w:rsid w:val="00BD22BB"/>
    <w:rsid w:val="00BD4098"/>
    <w:rsid w:val="00BD57BF"/>
    <w:rsid w:val="00BD70D5"/>
    <w:rsid w:val="00BE16A1"/>
    <w:rsid w:val="00BE1F16"/>
    <w:rsid w:val="00BE20FC"/>
    <w:rsid w:val="00BE34DD"/>
    <w:rsid w:val="00BE64B0"/>
    <w:rsid w:val="00BE65FF"/>
    <w:rsid w:val="00BE7717"/>
    <w:rsid w:val="00BF04F3"/>
    <w:rsid w:val="00BF0CF2"/>
    <w:rsid w:val="00BF451B"/>
    <w:rsid w:val="00BF4D5F"/>
    <w:rsid w:val="00BF6E77"/>
    <w:rsid w:val="00BF76C9"/>
    <w:rsid w:val="00C02DCF"/>
    <w:rsid w:val="00C03522"/>
    <w:rsid w:val="00C0400E"/>
    <w:rsid w:val="00C04E03"/>
    <w:rsid w:val="00C04E49"/>
    <w:rsid w:val="00C04ECD"/>
    <w:rsid w:val="00C11072"/>
    <w:rsid w:val="00C11763"/>
    <w:rsid w:val="00C155BF"/>
    <w:rsid w:val="00C1577B"/>
    <w:rsid w:val="00C20C19"/>
    <w:rsid w:val="00C214BE"/>
    <w:rsid w:val="00C22D9E"/>
    <w:rsid w:val="00C250C0"/>
    <w:rsid w:val="00C26E13"/>
    <w:rsid w:val="00C32E5F"/>
    <w:rsid w:val="00C34576"/>
    <w:rsid w:val="00C362C7"/>
    <w:rsid w:val="00C36844"/>
    <w:rsid w:val="00C36B99"/>
    <w:rsid w:val="00C43075"/>
    <w:rsid w:val="00C470D0"/>
    <w:rsid w:val="00C471AF"/>
    <w:rsid w:val="00C47B35"/>
    <w:rsid w:val="00C55AEA"/>
    <w:rsid w:val="00C55EC5"/>
    <w:rsid w:val="00C571BC"/>
    <w:rsid w:val="00C60605"/>
    <w:rsid w:val="00C60CC9"/>
    <w:rsid w:val="00C6160F"/>
    <w:rsid w:val="00C61B9B"/>
    <w:rsid w:val="00C64E1E"/>
    <w:rsid w:val="00C65C55"/>
    <w:rsid w:val="00C71AB0"/>
    <w:rsid w:val="00C7286C"/>
    <w:rsid w:val="00C75BE2"/>
    <w:rsid w:val="00C83D4D"/>
    <w:rsid w:val="00C92469"/>
    <w:rsid w:val="00C92E54"/>
    <w:rsid w:val="00C92F85"/>
    <w:rsid w:val="00C93289"/>
    <w:rsid w:val="00CA2669"/>
    <w:rsid w:val="00CA3A34"/>
    <w:rsid w:val="00CA400D"/>
    <w:rsid w:val="00CA5881"/>
    <w:rsid w:val="00CA612A"/>
    <w:rsid w:val="00CA6982"/>
    <w:rsid w:val="00CB0000"/>
    <w:rsid w:val="00CB01BF"/>
    <w:rsid w:val="00CB0BAE"/>
    <w:rsid w:val="00CB2A22"/>
    <w:rsid w:val="00CB4C50"/>
    <w:rsid w:val="00CC1BB9"/>
    <w:rsid w:val="00CC2EA2"/>
    <w:rsid w:val="00CC2EF1"/>
    <w:rsid w:val="00CC3EB1"/>
    <w:rsid w:val="00CC62C2"/>
    <w:rsid w:val="00CD0160"/>
    <w:rsid w:val="00CD07A3"/>
    <w:rsid w:val="00CD0D3D"/>
    <w:rsid w:val="00CD6CAE"/>
    <w:rsid w:val="00CD7EB6"/>
    <w:rsid w:val="00CE00D0"/>
    <w:rsid w:val="00CE07F0"/>
    <w:rsid w:val="00CE0814"/>
    <w:rsid w:val="00CE651D"/>
    <w:rsid w:val="00CE6BF1"/>
    <w:rsid w:val="00CE7620"/>
    <w:rsid w:val="00CF1FA1"/>
    <w:rsid w:val="00CF2F4B"/>
    <w:rsid w:val="00CF3B01"/>
    <w:rsid w:val="00CF408F"/>
    <w:rsid w:val="00CF4C4E"/>
    <w:rsid w:val="00CF62D8"/>
    <w:rsid w:val="00CF63A2"/>
    <w:rsid w:val="00CF7305"/>
    <w:rsid w:val="00CF7E52"/>
    <w:rsid w:val="00D04746"/>
    <w:rsid w:val="00D0627A"/>
    <w:rsid w:val="00D0799C"/>
    <w:rsid w:val="00D115E7"/>
    <w:rsid w:val="00D11A23"/>
    <w:rsid w:val="00D12C5C"/>
    <w:rsid w:val="00D2049A"/>
    <w:rsid w:val="00D24557"/>
    <w:rsid w:val="00D249D3"/>
    <w:rsid w:val="00D259A0"/>
    <w:rsid w:val="00D27E9E"/>
    <w:rsid w:val="00D301F9"/>
    <w:rsid w:val="00D31066"/>
    <w:rsid w:val="00D316A2"/>
    <w:rsid w:val="00D32307"/>
    <w:rsid w:val="00D365A5"/>
    <w:rsid w:val="00D424F0"/>
    <w:rsid w:val="00D426F5"/>
    <w:rsid w:val="00D42EC4"/>
    <w:rsid w:val="00D435C2"/>
    <w:rsid w:val="00D44C11"/>
    <w:rsid w:val="00D460DE"/>
    <w:rsid w:val="00D504E3"/>
    <w:rsid w:val="00D53B58"/>
    <w:rsid w:val="00D60190"/>
    <w:rsid w:val="00D623CB"/>
    <w:rsid w:val="00D632B7"/>
    <w:rsid w:val="00D64CD4"/>
    <w:rsid w:val="00D654C9"/>
    <w:rsid w:val="00D704EC"/>
    <w:rsid w:val="00D70896"/>
    <w:rsid w:val="00D714DA"/>
    <w:rsid w:val="00D7177E"/>
    <w:rsid w:val="00D721B9"/>
    <w:rsid w:val="00D75881"/>
    <w:rsid w:val="00D75C1E"/>
    <w:rsid w:val="00D77BBF"/>
    <w:rsid w:val="00D80B3D"/>
    <w:rsid w:val="00D816B0"/>
    <w:rsid w:val="00D81E70"/>
    <w:rsid w:val="00D8260F"/>
    <w:rsid w:val="00D82C77"/>
    <w:rsid w:val="00D83F37"/>
    <w:rsid w:val="00D844D6"/>
    <w:rsid w:val="00D84EE6"/>
    <w:rsid w:val="00D861F9"/>
    <w:rsid w:val="00D9006C"/>
    <w:rsid w:val="00D961A3"/>
    <w:rsid w:val="00D97F44"/>
    <w:rsid w:val="00DA1067"/>
    <w:rsid w:val="00DA7FDA"/>
    <w:rsid w:val="00DB05A4"/>
    <w:rsid w:val="00DB1DC5"/>
    <w:rsid w:val="00DB315D"/>
    <w:rsid w:val="00DC6894"/>
    <w:rsid w:val="00DC7624"/>
    <w:rsid w:val="00DD0223"/>
    <w:rsid w:val="00DD0B04"/>
    <w:rsid w:val="00DD12C3"/>
    <w:rsid w:val="00DD1EB5"/>
    <w:rsid w:val="00DD5DD5"/>
    <w:rsid w:val="00DE050E"/>
    <w:rsid w:val="00DE2B80"/>
    <w:rsid w:val="00DE3EC6"/>
    <w:rsid w:val="00DE4E63"/>
    <w:rsid w:val="00DE6583"/>
    <w:rsid w:val="00DE787F"/>
    <w:rsid w:val="00DF107C"/>
    <w:rsid w:val="00DF249C"/>
    <w:rsid w:val="00DF2556"/>
    <w:rsid w:val="00DF3CBD"/>
    <w:rsid w:val="00DF765E"/>
    <w:rsid w:val="00DF777F"/>
    <w:rsid w:val="00E002D5"/>
    <w:rsid w:val="00E02805"/>
    <w:rsid w:val="00E02A6D"/>
    <w:rsid w:val="00E050F8"/>
    <w:rsid w:val="00E05759"/>
    <w:rsid w:val="00E063C4"/>
    <w:rsid w:val="00E0752C"/>
    <w:rsid w:val="00E07B83"/>
    <w:rsid w:val="00E111AB"/>
    <w:rsid w:val="00E11DBD"/>
    <w:rsid w:val="00E12914"/>
    <w:rsid w:val="00E12F71"/>
    <w:rsid w:val="00E13421"/>
    <w:rsid w:val="00E165A9"/>
    <w:rsid w:val="00E17771"/>
    <w:rsid w:val="00E211B2"/>
    <w:rsid w:val="00E237B2"/>
    <w:rsid w:val="00E25B22"/>
    <w:rsid w:val="00E2695C"/>
    <w:rsid w:val="00E32023"/>
    <w:rsid w:val="00E33403"/>
    <w:rsid w:val="00E356C8"/>
    <w:rsid w:val="00E37425"/>
    <w:rsid w:val="00E405E8"/>
    <w:rsid w:val="00E42069"/>
    <w:rsid w:val="00E4246E"/>
    <w:rsid w:val="00E42C74"/>
    <w:rsid w:val="00E42CBF"/>
    <w:rsid w:val="00E43758"/>
    <w:rsid w:val="00E466C4"/>
    <w:rsid w:val="00E46E23"/>
    <w:rsid w:val="00E47E4C"/>
    <w:rsid w:val="00E50F47"/>
    <w:rsid w:val="00E5665D"/>
    <w:rsid w:val="00E57B62"/>
    <w:rsid w:val="00E57EDC"/>
    <w:rsid w:val="00E6060B"/>
    <w:rsid w:val="00E6250F"/>
    <w:rsid w:val="00E6681F"/>
    <w:rsid w:val="00E676CF"/>
    <w:rsid w:val="00E711A4"/>
    <w:rsid w:val="00E7153E"/>
    <w:rsid w:val="00E72A39"/>
    <w:rsid w:val="00E75639"/>
    <w:rsid w:val="00E763EE"/>
    <w:rsid w:val="00E76743"/>
    <w:rsid w:val="00E779A8"/>
    <w:rsid w:val="00E818B3"/>
    <w:rsid w:val="00E8242B"/>
    <w:rsid w:val="00E82529"/>
    <w:rsid w:val="00E8390E"/>
    <w:rsid w:val="00E85BD4"/>
    <w:rsid w:val="00E87275"/>
    <w:rsid w:val="00E90945"/>
    <w:rsid w:val="00E91F9A"/>
    <w:rsid w:val="00E92817"/>
    <w:rsid w:val="00E93F16"/>
    <w:rsid w:val="00E96128"/>
    <w:rsid w:val="00E979D6"/>
    <w:rsid w:val="00EA04F1"/>
    <w:rsid w:val="00EA322C"/>
    <w:rsid w:val="00EA5388"/>
    <w:rsid w:val="00EB2571"/>
    <w:rsid w:val="00EB2A6E"/>
    <w:rsid w:val="00EB3895"/>
    <w:rsid w:val="00EB532B"/>
    <w:rsid w:val="00EB5827"/>
    <w:rsid w:val="00EB5BE1"/>
    <w:rsid w:val="00EB63F5"/>
    <w:rsid w:val="00EB6E74"/>
    <w:rsid w:val="00EB6E8B"/>
    <w:rsid w:val="00EB778F"/>
    <w:rsid w:val="00EC1B09"/>
    <w:rsid w:val="00EC423E"/>
    <w:rsid w:val="00EC68CA"/>
    <w:rsid w:val="00EC7B42"/>
    <w:rsid w:val="00ED2A56"/>
    <w:rsid w:val="00ED45CF"/>
    <w:rsid w:val="00ED548A"/>
    <w:rsid w:val="00EE2B7A"/>
    <w:rsid w:val="00EE53A3"/>
    <w:rsid w:val="00EE55EC"/>
    <w:rsid w:val="00EE58E6"/>
    <w:rsid w:val="00EE6731"/>
    <w:rsid w:val="00EF5ACD"/>
    <w:rsid w:val="00EF7FFE"/>
    <w:rsid w:val="00F00ECF"/>
    <w:rsid w:val="00F013FC"/>
    <w:rsid w:val="00F02C29"/>
    <w:rsid w:val="00F04E61"/>
    <w:rsid w:val="00F07342"/>
    <w:rsid w:val="00F079CC"/>
    <w:rsid w:val="00F106B2"/>
    <w:rsid w:val="00F1206B"/>
    <w:rsid w:val="00F128B7"/>
    <w:rsid w:val="00F12B7E"/>
    <w:rsid w:val="00F13BA4"/>
    <w:rsid w:val="00F13C90"/>
    <w:rsid w:val="00F16BA1"/>
    <w:rsid w:val="00F17283"/>
    <w:rsid w:val="00F203EB"/>
    <w:rsid w:val="00F2245F"/>
    <w:rsid w:val="00F2484D"/>
    <w:rsid w:val="00F257E2"/>
    <w:rsid w:val="00F25D4F"/>
    <w:rsid w:val="00F26F37"/>
    <w:rsid w:val="00F276FD"/>
    <w:rsid w:val="00F32835"/>
    <w:rsid w:val="00F33023"/>
    <w:rsid w:val="00F3619D"/>
    <w:rsid w:val="00F368A9"/>
    <w:rsid w:val="00F3739D"/>
    <w:rsid w:val="00F37AC9"/>
    <w:rsid w:val="00F40274"/>
    <w:rsid w:val="00F40E50"/>
    <w:rsid w:val="00F40F00"/>
    <w:rsid w:val="00F4291F"/>
    <w:rsid w:val="00F42AA3"/>
    <w:rsid w:val="00F46209"/>
    <w:rsid w:val="00F4780A"/>
    <w:rsid w:val="00F47D88"/>
    <w:rsid w:val="00F47FAD"/>
    <w:rsid w:val="00F51133"/>
    <w:rsid w:val="00F54613"/>
    <w:rsid w:val="00F71BB7"/>
    <w:rsid w:val="00F71C79"/>
    <w:rsid w:val="00F747FB"/>
    <w:rsid w:val="00F75915"/>
    <w:rsid w:val="00F75E3C"/>
    <w:rsid w:val="00F7625D"/>
    <w:rsid w:val="00F80FC7"/>
    <w:rsid w:val="00F81165"/>
    <w:rsid w:val="00F8154E"/>
    <w:rsid w:val="00F85685"/>
    <w:rsid w:val="00F863B0"/>
    <w:rsid w:val="00F903F6"/>
    <w:rsid w:val="00F940BE"/>
    <w:rsid w:val="00FA19EA"/>
    <w:rsid w:val="00FA1A6C"/>
    <w:rsid w:val="00FA2FAC"/>
    <w:rsid w:val="00FA3BA5"/>
    <w:rsid w:val="00FA40B6"/>
    <w:rsid w:val="00FA6869"/>
    <w:rsid w:val="00FA69D0"/>
    <w:rsid w:val="00FB3D04"/>
    <w:rsid w:val="00FB5EA6"/>
    <w:rsid w:val="00FB6EFF"/>
    <w:rsid w:val="00FC2CCC"/>
    <w:rsid w:val="00FC58A5"/>
    <w:rsid w:val="00FD23DB"/>
    <w:rsid w:val="00FD4436"/>
    <w:rsid w:val="00FD5619"/>
    <w:rsid w:val="00FD6378"/>
    <w:rsid w:val="00FD69C4"/>
    <w:rsid w:val="00FE1526"/>
    <w:rsid w:val="00FE2277"/>
    <w:rsid w:val="00FE2D61"/>
    <w:rsid w:val="00FE5741"/>
    <w:rsid w:val="00FE6D79"/>
    <w:rsid w:val="00FF0D3D"/>
    <w:rsid w:val="00FF5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D1B6F"/>
    <w:pPr>
      <w:spacing w:after="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3D1B6F"/>
    <w:pPr>
      <w:keepNext/>
      <w:keepLines/>
      <w:numPr>
        <w:numId w:val="3"/>
      </w:numPr>
      <w:spacing w:after="100" w:afterAutospacing="1"/>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D1B6F"/>
    <w:pPr>
      <w:keepNext/>
      <w:keepLines/>
      <w:numPr>
        <w:numId w:val="4"/>
      </w:numPr>
      <w:spacing w:after="100" w:afterAutospacing="1"/>
      <w:ind w:left="0" w:firstLine="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B6F"/>
    <w:pPr>
      <w:spacing w:after="0" w:line="240" w:lineRule="auto"/>
      <w:jc w:val="center"/>
    </w:pPr>
    <w:rPr>
      <w:rFonts w:ascii="Times New Roman" w:hAnsi="Times New Roman"/>
      <w:b/>
      <w:sz w:val="32"/>
    </w:rPr>
  </w:style>
  <w:style w:type="character" w:customStyle="1" w:styleId="Heading1Char">
    <w:name w:val="Heading 1 Char"/>
    <w:basedOn w:val="DefaultParagraphFont"/>
    <w:link w:val="Heading1"/>
    <w:uiPriority w:val="9"/>
    <w:rsid w:val="003D1B6F"/>
    <w:rPr>
      <w:rFonts w:ascii="Times New Roman" w:eastAsiaTheme="majorEastAsia" w:hAnsi="Times New Roman" w:cstheme="majorBidi"/>
      <w:b/>
      <w:bCs/>
      <w:sz w:val="32"/>
      <w:szCs w:val="28"/>
    </w:rPr>
  </w:style>
  <w:style w:type="paragraph" w:customStyle="1" w:styleId="Default">
    <w:name w:val="Default"/>
    <w:rsid w:val="008F447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35F4"/>
    <w:pPr>
      <w:ind w:left="720"/>
      <w:contextualSpacing/>
    </w:pPr>
  </w:style>
  <w:style w:type="character" w:customStyle="1" w:styleId="Heading2Char">
    <w:name w:val="Heading 2 Char"/>
    <w:basedOn w:val="DefaultParagraphFont"/>
    <w:link w:val="Heading2"/>
    <w:uiPriority w:val="9"/>
    <w:rsid w:val="003D1B6F"/>
    <w:rPr>
      <w:rFonts w:ascii="Times New Roman" w:eastAsiaTheme="majorEastAsia" w:hAnsi="Times New Roman" w:cstheme="majorBidi"/>
      <w:b/>
      <w:bCs/>
      <w:sz w:val="28"/>
      <w:szCs w:val="26"/>
    </w:rPr>
  </w:style>
  <w:style w:type="character" w:styleId="Strong">
    <w:name w:val="Strong"/>
    <w:basedOn w:val="DefaultParagraphFont"/>
    <w:uiPriority w:val="22"/>
    <w:qFormat/>
    <w:rsid w:val="000C520A"/>
    <w:rPr>
      <w:b/>
      <w:bCs/>
    </w:rPr>
  </w:style>
  <w:style w:type="paragraph" w:styleId="TOCHeading">
    <w:name w:val="TOC Heading"/>
    <w:basedOn w:val="Heading1"/>
    <w:next w:val="Normal"/>
    <w:uiPriority w:val="39"/>
    <w:unhideWhenUsed/>
    <w:qFormat/>
    <w:rsid w:val="000C520A"/>
    <w:pPr>
      <w:numPr>
        <w:numId w:val="0"/>
      </w:num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460E56"/>
    <w:pPr>
      <w:tabs>
        <w:tab w:val="left" w:pos="709"/>
        <w:tab w:val="left" w:pos="1843"/>
        <w:tab w:val="right" w:leader="dot" w:pos="9344"/>
      </w:tabs>
      <w:spacing w:after="100"/>
      <w:ind w:left="284" w:firstLine="0"/>
    </w:pPr>
  </w:style>
  <w:style w:type="paragraph" w:styleId="TOC2">
    <w:name w:val="toc 2"/>
    <w:basedOn w:val="Normal"/>
    <w:next w:val="Normal"/>
    <w:autoRedefine/>
    <w:uiPriority w:val="39"/>
    <w:unhideWhenUsed/>
    <w:rsid w:val="00C20C19"/>
    <w:pPr>
      <w:tabs>
        <w:tab w:val="left" w:pos="2268"/>
        <w:tab w:val="right" w:leader="dot" w:pos="9344"/>
      </w:tabs>
      <w:spacing w:after="100"/>
      <w:ind w:left="220" w:firstLine="1340"/>
    </w:pPr>
  </w:style>
  <w:style w:type="character" w:styleId="Hyperlink">
    <w:name w:val="Hyperlink"/>
    <w:basedOn w:val="DefaultParagraphFont"/>
    <w:uiPriority w:val="99"/>
    <w:unhideWhenUsed/>
    <w:rsid w:val="000C520A"/>
    <w:rPr>
      <w:color w:val="0000FF" w:themeColor="hyperlink"/>
      <w:u w:val="single"/>
    </w:rPr>
  </w:style>
  <w:style w:type="paragraph" w:styleId="BalloonText">
    <w:name w:val="Balloon Text"/>
    <w:basedOn w:val="Normal"/>
    <w:link w:val="BalloonTextChar"/>
    <w:uiPriority w:val="99"/>
    <w:semiHidden/>
    <w:unhideWhenUsed/>
    <w:rsid w:val="000C520A"/>
    <w:rPr>
      <w:rFonts w:ascii="Tahoma" w:hAnsi="Tahoma" w:cs="Tahoma"/>
      <w:sz w:val="16"/>
      <w:szCs w:val="16"/>
    </w:rPr>
  </w:style>
  <w:style w:type="character" w:customStyle="1" w:styleId="BalloonTextChar">
    <w:name w:val="Balloon Text Char"/>
    <w:basedOn w:val="DefaultParagraphFont"/>
    <w:link w:val="BalloonText"/>
    <w:uiPriority w:val="99"/>
    <w:semiHidden/>
    <w:rsid w:val="000C520A"/>
    <w:rPr>
      <w:rFonts w:ascii="Tahoma" w:hAnsi="Tahoma" w:cs="Tahoma"/>
      <w:sz w:val="16"/>
      <w:szCs w:val="16"/>
    </w:rPr>
  </w:style>
  <w:style w:type="paragraph" w:styleId="NormalWeb">
    <w:name w:val="Normal (Web)"/>
    <w:basedOn w:val="Normal"/>
    <w:uiPriority w:val="99"/>
    <w:unhideWhenUsed/>
    <w:rsid w:val="00D115E7"/>
    <w:pPr>
      <w:spacing w:before="100" w:beforeAutospacing="1" w:after="100" w:afterAutospacing="1"/>
      <w:ind w:firstLine="0"/>
      <w:jc w:val="left"/>
    </w:pPr>
    <w:rPr>
      <w:rFonts w:eastAsia="Times New Roman" w:cs="Times New Roman"/>
      <w:sz w:val="24"/>
      <w:szCs w:val="24"/>
      <w:lang w:eastAsia="lv-LV"/>
    </w:rPr>
  </w:style>
  <w:style w:type="paragraph" w:styleId="FootnoteText">
    <w:name w:val="footnote text"/>
    <w:basedOn w:val="Normal"/>
    <w:link w:val="FootnoteTextChar"/>
    <w:uiPriority w:val="99"/>
    <w:semiHidden/>
    <w:unhideWhenUsed/>
    <w:rsid w:val="00E13421"/>
    <w:rPr>
      <w:sz w:val="20"/>
      <w:szCs w:val="20"/>
    </w:rPr>
  </w:style>
  <w:style w:type="character" w:customStyle="1" w:styleId="FootnoteTextChar">
    <w:name w:val="Footnote Text Char"/>
    <w:basedOn w:val="DefaultParagraphFont"/>
    <w:link w:val="FootnoteText"/>
    <w:uiPriority w:val="99"/>
    <w:semiHidden/>
    <w:rsid w:val="00E13421"/>
    <w:rPr>
      <w:rFonts w:ascii="Times New Roman" w:hAnsi="Times New Roman"/>
      <w:sz w:val="20"/>
      <w:szCs w:val="20"/>
    </w:rPr>
  </w:style>
  <w:style w:type="character" w:styleId="FootnoteReference">
    <w:name w:val="footnote reference"/>
    <w:basedOn w:val="DefaultParagraphFont"/>
    <w:uiPriority w:val="99"/>
    <w:semiHidden/>
    <w:unhideWhenUsed/>
    <w:rsid w:val="00E13421"/>
    <w:rPr>
      <w:vertAlign w:val="superscript"/>
    </w:rPr>
  </w:style>
  <w:style w:type="table" w:styleId="TableGrid">
    <w:name w:val="Table Grid"/>
    <w:basedOn w:val="TableNormal"/>
    <w:uiPriority w:val="59"/>
    <w:rsid w:val="00491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8B"/>
    <w:pPr>
      <w:tabs>
        <w:tab w:val="center" w:pos="4153"/>
        <w:tab w:val="right" w:pos="8306"/>
      </w:tabs>
    </w:pPr>
  </w:style>
  <w:style w:type="character" w:customStyle="1" w:styleId="HeaderChar">
    <w:name w:val="Header Char"/>
    <w:basedOn w:val="DefaultParagraphFont"/>
    <w:link w:val="Header"/>
    <w:uiPriority w:val="99"/>
    <w:rsid w:val="002A188B"/>
    <w:rPr>
      <w:rFonts w:ascii="Times New Roman" w:hAnsi="Times New Roman"/>
      <w:sz w:val="28"/>
    </w:rPr>
  </w:style>
  <w:style w:type="paragraph" w:styleId="Footer">
    <w:name w:val="footer"/>
    <w:basedOn w:val="Normal"/>
    <w:link w:val="FooterChar"/>
    <w:uiPriority w:val="99"/>
    <w:unhideWhenUsed/>
    <w:rsid w:val="002A188B"/>
    <w:pPr>
      <w:tabs>
        <w:tab w:val="center" w:pos="4153"/>
        <w:tab w:val="right" w:pos="8306"/>
      </w:tabs>
    </w:pPr>
  </w:style>
  <w:style w:type="character" w:customStyle="1" w:styleId="FooterChar">
    <w:name w:val="Footer Char"/>
    <w:basedOn w:val="DefaultParagraphFont"/>
    <w:link w:val="Footer"/>
    <w:uiPriority w:val="99"/>
    <w:rsid w:val="002A188B"/>
    <w:rPr>
      <w:rFonts w:ascii="Times New Roman" w:hAnsi="Times New Roman"/>
      <w:sz w:val="28"/>
    </w:rPr>
  </w:style>
  <w:style w:type="paragraph" w:customStyle="1" w:styleId="tv2132">
    <w:name w:val="tv2132"/>
    <w:basedOn w:val="Normal"/>
    <w:rsid w:val="007D016B"/>
    <w:pPr>
      <w:spacing w:line="360" w:lineRule="auto"/>
      <w:ind w:firstLine="300"/>
      <w:jc w:val="left"/>
    </w:pPr>
    <w:rPr>
      <w:rFonts w:eastAsia="Times New Roman" w:cs="Times New Roman"/>
      <w:color w:val="414142"/>
      <w:sz w:val="20"/>
      <w:szCs w:val="20"/>
      <w:lang w:eastAsia="lv-LV"/>
    </w:rPr>
  </w:style>
  <w:style w:type="paragraph" w:customStyle="1" w:styleId="naislab">
    <w:name w:val="naislab"/>
    <w:basedOn w:val="Normal"/>
    <w:rsid w:val="007D144C"/>
    <w:pPr>
      <w:spacing w:before="100" w:beforeAutospacing="1" w:after="100" w:afterAutospacing="1"/>
      <w:ind w:firstLine="0"/>
      <w:jc w:val="left"/>
    </w:pPr>
    <w:rPr>
      <w:rFonts w:eastAsia="Times New Roman" w:cs="Times New Roman"/>
      <w:sz w:val="24"/>
      <w:szCs w:val="24"/>
      <w:lang w:eastAsia="lv-LV"/>
    </w:rPr>
  </w:style>
  <w:style w:type="character" w:customStyle="1" w:styleId="c5">
    <w:name w:val="c5"/>
    <w:basedOn w:val="DefaultParagraphFont"/>
    <w:rsid w:val="00D249D3"/>
  </w:style>
  <w:style w:type="character" w:styleId="CommentReference">
    <w:name w:val="annotation reference"/>
    <w:basedOn w:val="DefaultParagraphFont"/>
    <w:uiPriority w:val="99"/>
    <w:semiHidden/>
    <w:unhideWhenUsed/>
    <w:rsid w:val="00104DFB"/>
    <w:rPr>
      <w:sz w:val="16"/>
      <w:szCs w:val="16"/>
    </w:rPr>
  </w:style>
  <w:style w:type="paragraph" w:styleId="CommentText">
    <w:name w:val="annotation text"/>
    <w:basedOn w:val="Normal"/>
    <w:link w:val="CommentTextChar"/>
    <w:uiPriority w:val="99"/>
    <w:semiHidden/>
    <w:unhideWhenUsed/>
    <w:rsid w:val="00104DFB"/>
    <w:rPr>
      <w:sz w:val="20"/>
      <w:szCs w:val="20"/>
    </w:rPr>
  </w:style>
  <w:style w:type="character" w:customStyle="1" w:styleId="CommentTextChar">
    <w:name w:val="Comment Text Char"/>
    <w:basedOn w:val="DefaultParagraphFont"/>
    <w:link w:val="CommentText"/>
    <w:uiPriority w:val="99"/>
    <w:semiHidden/>
    <w:rsid w:val="00104DF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DFB"/>
    <w:rPr>
      <w:b/>
      <w:bCs/>
    </w:rPr>
  </w:style>
  <w:style w:type="character" w:customStyle="1" w:styleId="CommentSubjectChar">
    <w:name w:val="Comment Subject Char"/>
    <w:basedOn w:val="CommentTextChar"/>
    <w:link w:val="CommentSubject"/>
    <w:uiPriority w:val="99"/>
    <w:semiHidden/>
    <w:rsid w:val="00104DFB"/>
    <w:rPr>
      <w:rFonts w:ascii="Times New Roman" w:hAnsi="Times New Roman"/>
      <w:b/>
      <w:bCs/>
      <w:sz w:val="20"/>
      <w:szCs w:val="20"/>
    </w:rPr>
  </w:style>
  <w:style w:type="character" w:styleId="Emphasis">
    <w:name w:val="Emphasis"/>
    <w:basedOn w:val="DefaultParagraphFont"/>
    <w:uiPriority w:val="20"/>
    <w:qFormat/>
    <w:rsid w:val="0002718B"/>
    <w:rPr>
      <w:i/>
      <w:iCs/>
    </w:rPr>
  </w:style>
  <w:style w:type="character" w:customStyle="1" w:styleId="apple-converted-space">
    <w:name w:val="apple-converted-space"/>
    <w:basedOn w:val="DefaultParagraphFont"/>
    <w:rsid w:val="0002718B"/>
  </w:style>
  <w:style w:type="character" w:styleId="FollowedHyperlink">
    <w:name w:val="FollowedHyperlink"/>
    <w:basedOn w:val="DefaultParagraphFont"/>
    <w:uiPriority w:val="99"/>
    <w:semiHidden/>
    <w:unhideWhenUsed/>
    <w:rsid w:val="00EF7F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D1B6F"/>
    <w:pPr>
      <w:spacing w:after="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3D1B6F"/>
    <w:pPr>
      <w:keepNext/>
      <w:keepLines/>
      <w:numPr>
        <w:numId w:val="3"/>
      </w:numPr>
      <w:spacing w:after="100" w:afterAutospacing="1"/>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D1B6F"/>
    <w:pPr>
      <w:keepNext/>
      <w:keepLines/>
      <w:numPr>
        <w:numId w:val="4"/>
      </w:numPr>
      <w:spacing w:after="100" w:afterAutospacing="1"/>
      <w:ind w:left="0" w:firstLine="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B6F"/>
    <w:pPr>
      <w:spacing w:after="0" w:line="240" w:lineRule="auto"/>
      <w:jc w:val="center"/>
    </w:pPr>
    <w:rPr>
      <w:rFonts w:ascii="Times New Roman" w:hAnsi="Times New Roman"/>
      <w:b/>
      <w:sz w:val="32"/>
    </w:rPr>
  </w:style>
  <w:style w:type="character" w:customStyle="1" w:styleId="Heading1Char">
    <w:name w:val="Heading 1 Char"/>
    <w:basedOn w:val="DefaultParagraphFont"/>
    <w:link w:val="Heading1"/>
    <w:uiPriority w:val="9"/>
    <w:rsid w:val="003D1B6F"/>
    <w:rPr>
      <w:rFonts w:ascii="Times New Roman" w:eastAsiaTheme="majorEastAsia" w:hAnsi="Times New Roman" w:cstheme="majorBidi"/>
      <w:b/>
      <w:bCs/>
      <w:sz w:val="32"/>
      <w:szCs w:val="28"/>
    </w:rPr>
  </w:style>
  <w:style w:type="paragraph" w:customStyle="1" w:styleId="Default">
    <w:name w:val="Default"/>
    <w:rsid w:val="008F447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35F4"/>
    <w:pPr>
      <w:ind w:left="720"/>
      <w:contextualSpacing/>
    </w:pPr>
  </w:style>
  <w:style w:type="character" w:customStyle="1" w:styleId="Heading2Char">
    <w:name w:val="Heading 2 Char"/>
    <w:basedOn w:val="DefaultParagraphFont"/>
    <w:link w:val="Heading2"/>
    <w:uiPriority w:val="9"/>
    <w:rsid w:val="003D1B6F"/>
    <w:rPr>
      <w:rFonts w:ascii="Times New Roman" w:eastAsiaTheme="majorEastAsia" w:hAnsi="Times New Roman" w:cstheme="majorBidi"/>
      <w:b/>
      <w:bCs/>
      <w:sz w:val="28"/>
      <w:szCs w:val="26"/>
    </w:rPr>
  </w:style>
  <w:style w:type="character" w:styleId="Strong">
    <w:name w:val="Strong"/>
    <w:basedOn w:val="DefaultParagraphFont"/>
    <w:uiPriority w:val="22"/>
    <w:qFormat/>
    <w:rsid w:val="000C520A"/>
    <w:rPr>
      <w:b/>
      <w:bCs/>
    </w:rPr>
  </w:style>
  <w:style w:type="paragraph" w:styleId="TOCHeading">
    <w:name w:val="TOC Heading"/>
    <w:basedOn w:val="Heading1"/>
    <w:next w:val="Normal"/>
    <w:uiPriority w:val="39"/>
    <w:unhideWhenUsed/>
    <w:qFormat/>
    <w:rsid w:val="000C520A"/>
    <w:pPr>
      <w:numPr>
        <w:numId w:val="0"/>
      </w:num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460E56"/>
    <w:pPr>
      <w:tabs>
        <w:tab w:val="left" w:pos="709"/>
        <w:tab w:val="left" w:pos="1843"/>
        <w:tab w:val="right" w:leader="dot" w:pos="9344"/>
      </w:tabs>
      <w:spacing w:after="100"/>
      <w:ind w:left="284" w:firstLine="0"/>
    </w:pPr>
  </w:style>
  <w:style w:type="paragraph" w:styleId="TOC2">
    <w:name w:val="toc 2"/>
    <w:basedOn w:val="Normal"/>
    <w:next w:val="Normal"/>
    <w:autoRedefine/>
    <w:uiPriority w:val="39"/>
    <w:unhideWhenUsed/>
    <w:rsid w:val="00C20C19"/>
    <w:pPr>
      <w:tabs>
        <w:tab w:val="left" w:pos="2268"/>
        <w:tab w:val="right" w:leader="dot" w:pos="9344"/>
      </w:tabs>
      <w:spacing w:after="100"/>
      <w:ind w:left="220" w:firstLine="1340"/>
    </w:pPr>
  </w:style>
  <w:style w:type="character" w:styleId="Hyperlink">
    <w:name w:val="Hyperlink"/>
    <w:basedOn w:val="DefaultParagraphFont"/>
    <w:uiPriority w:val="99"/>
    <w:unhideWhenUsed/>
    <w:rsid w:val="000C520A"/>
    <w:rPr>
      <w:color w:val="0000FF" w:themeColor="hyperlink"/>
      <w:u w:val="single"/>
    </w:rPr>
  </w:style>
  <w:style w:type="paragraph" w:styleId="BalloonText">
    <w:name w:val="Balloon Text"/>
    <w:basedOn w:val="Normal"/>
    <w:link w:val="BalloonTextChar"/>
    <w:uiPriority w:val="99"/>
    <w:semiHidden/>
    <w:unhideWhenUsed/>
    <w:rsid w:val="000C520A"/>
    <w:rPr>
      <w:rFonts w:ascii="Tahoma" w:hAnsi="Tahoma" w:cs="Tahoma"/>
      <w:sz w:val="16"/>
      <w:szCs w:val="16"/>
    </w:rPr>
  </w:style>
  <w:style w:type="character" w:customStyle="1" w:styleId="BalloonTextChar">
    <w:name w:val="Balloon Text Char"/>
    <w:basedOn w:val="DefaultParagraphFont"/>
    <w:link w:val="BalloonText"/>
    <w:uiPriority w:val="99"/>
    <w:semiHidden/>
    <w:rsid w:val="000C520A"/>
    <w:rPr>
      <w:rFonts w:ascii="Tahoma" w:hAnsi="Tahoma" w:cs="Tahoma"/>
      <w:sz w:val="16"/>
      <w:szCs w:val="16"/>
    </w:rPr>
  </w:style>
  <w:style w:type="paragraph" w:styleId="NormalWeb">
    <w:name w:val="Normal (Web)"/>
    <w:basedOn w:val="Normal"/>
    <w:uiPriority w:val="99"/>
    <w:unhideWhenUsed/>
    <w:rsid w:val="00D115E7"/>
    <w:pPr>
      <w:spacing w:before="100" w:beforeAutospacing="1" w:after="100" w:afterAutospacing="1"/>
      <w:ind w:firstLine="0"/>
      <w:jc w:val="left"/>
    </w:pPr>
    <w:rPr>
      <w:rFonts w:eastAsia="Times New Roman" w:cs="Times New Roman"/>
      <w:sz w:val="24"/>
      <w:szCs w:val="24"/>
      <w:lang w:eastAsia="lv-LV"/>
    </w:rPr>
  </w:style>
  <w:style w:type="paragraph" w:styleId="FootnoteText">
    <w:name w:val="footnote text"/>
    <w:basedOn w:val="Normal"/>
    <w:link w:val="FootnoteTextChar"/>
    <w:uiPriority w:val="99"/>
    <w:semiHidden/>
    <w:unhideWhenUsed/>
    <w:rsid w:val="00E13421"/>
    <w:rPr>
      <w:sz w:val="20"/>
      <w:szCs w:val="20"/>
    </w:rPr>
  </w:style>
  <w:style w:type="character" w:customStyle="1" w:styleId="FootnoteTextChar">
    <w:name w:val="Footnote Text Char"/>
    <w:basedOn w:val="DefaultParagraphFont"/>
    <w:link w:val="FootnoteText"/>
    <w:uiPriority w:val="99"/>
    <w:semiHidden/>
    <w:rsid w:val="00E13421"/>
    <w:rPr>
      <w:rFonts w:ascii="Times New Roman" w:hAnsi="Times New Roman"/>
      <w:sz w:val="20"/>
      <w:szCs w:val="20"/>
    </w:rPr>
  </w:style>
  <w:style w:type="character" w:styleId="FootnoteReference">
    <w:name w:val="footnote reference"/>
    <w:basedOn w:val="DefaultParagraphFont"/>
    <w:uiPriority w:val="99"/>
    <w:semiHidden/>
    <w:unhideWhenUsed/>
    <w:rsid w:val="00E13421"/>
    <w:rPr>
      <w:vertAlign w:val="superscript"/>
    </w:rPr>
  </w:style>
  <w:style w:type="table" w:styleId="TableGrid">
    <w:name w:val="Table Grid"/>
    <w:basedOn w:val="TableNormal"/>
    <w:uiPriority w:val="59"/>
    <w:rsid w:val="00491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8B"/>
    <w:pPr>
      <w:tabs>
        <w:tab w:val="center" w:pos="4153"/>
        <w:tab w:val="right" w:pos="8306"/>
      </w:tabs>
    </w:pPr>
  </w:style>
  <w:style w:type="character" w:customStyle="1" w:styleId="HeaderChar">
    <w:name w:val="Header Char"/>
    <w:basedOn w:val="DefaultParagraphFont"/>
    <w:link w:val="Header"/>
    <w:uiPriority w:val="99"/>
    <w:rsid w:val="002A188B"/>
    <w:rPr>
      <w:rFonts w:ascii="Times New Roman" w:hAnsi="Times New Roman"/>
      <w:sz w:val="28"/>
    </w:rPr>
  </w:style>
  <w:style w:type="paragraph" w:styleId="Footer">
    <w:name w:val="footer"/>
    <w:basedOn w:val="Normal"/>
    <w:link w:val="FooterChar"/>
    <w:uiPriority w:val="99"/>
    <w:unhideWhenUsed/>
    <w:rsid w:val="002A188B"/>
    <w:pPr>
      <w:tabs>
        <w:tab w:val="center" w:pos="4153"/>
        <w:tab w:val="right" w:pos="8306"/>
      </w:tabs>
    </w:pPr>
  </w:style>
  <w:style w:type="character" w:customStyle="1" w:styleId="FooterChar">
    <w:name w:val="Footer Char"/>
    <w:basedOn w:val="DefaultParagraphFont"/>
    <w:link w:val="Footer"/>
    <w:uiPriority w:val="99"/>
    <w:rsid w:val="002A188B"/>
    <w:rPr>
      <w:rFonts w:ascii="Times New Roman" w:hAnsi="Times New Roman"/>
      <w:sz w:val="28"/>
    </w:rPr>
  </w:style>
  <w:style w:type="paragraph" w:customStyle="1" w:styleId="tv2132">
    <w:name w:val="tv2132"/>
    <w:basedOn w:val="Normal"/>
    <w:rsid w:val="007D016B"/>
    <w:pPr>
      <w:spacing w:line="360" w:lineRule="auto"/>
      <w:ind w:firstLine="300"/>
      <w:jc w:val="left"/>
    </w:pPr>
    <w:rPr>
      <w:rFonts w:eastAsia="Times New Roman" w:cs="Times New Roman"/>
      <w:color w:val="414142"/>
      <w:sz w:val="20"/>
      <w:szCs w:val="20"/>
      <w:lang w:eastAsia="lv-LV"/>
    </w:rPr>
  </w:style>
  <w:style w:type="paragraph" w:customStyle="1" w:styleId="naislab">
    <w:name w:val="naislab"/>
    <w:basedOn w:val="Normal"/>
    <w:rsid w:val="007D144C"/>
    <w:pPr>
      <w:spacing w:before="100" w:beforeAutospacing="1" w:after="100" w:afterAutospacing="1"/>
      <w:ind w:firstLine="0"/>
      <w:jc w:val="left"/>
    </w:pPr>
    <w:rPr>
      <w:rFonts w:eastAsia="Times New Roman" w:cs="Times New Roman"/>
      <w:sz w:val="24"/>
      <w:szCs w:val="24"/>
      <w:lang w:eastAsia="lv-LV"/>
    </w:rPr>
  </w:style>
  <w:style w:type="character" w:customStyle="1" w:styleId="c5">
    <w:name w:val="c5"/>
    <w:basedOn w:val="DefaultParagraphFont"/>
    <w:rsid w:val="00D249D3"/>
  </w:style>
  <w:style w:type="character" w:styleId="CommentReference">
    <w:name w:val="annotation reference"/>
    <w:basedOn w:val="DefaultParagraphFont"/>
    <w:uiPriority w:val="99"/>
    <w:semiHidden/>
    <w:unhideWhenUsed/>
    <w:rsid w:val="00104DFB"/>
    <w:rPr>
      <w:sz w:val="16"/>
      <w:szCs w:val="16"/>
    </w:rPr>
  </w:style>
  <w:style w:type="paragraph" w:styleId="CommentText">
    <w:name w:val="annotation text"/>
    <w:basedOn w:val="Normal"/>
    <w:link w:val="CommentTextChar"/>
    <w:uiPriority w:val="99"/>
    <w:semiHidden/>
    <w:unhideWhenUsed/>
    <w:rsid w:val="00104DFB"/>
    <w:rPr>
      <w:sz w:val="20"/>
      <w:szCs w:val="20"/>
    </w:rPr>
  </w:style>
  <w:style w:type="character" w:customStyle="1" w:styleId="CommentTextChar">
    <w:name w:val="Comment Text Char"/>
    <w:basedOn w:val="DefaultParagraphFont"/>
    <w:link w:val="CommentText"/>
    <w:uiPriority w:val="99"/>
    <w:semiHidden/>
    <w:rsid w:val="00104DF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DFB"/>
    <w:rPr>
      <w:b/>
      <w:bCs/>
    </w:rPr>
  </w:style>
  <w:style w:type="character" w:customStyle="1" w:styleId="CommentSubjectChar">
    <w:name w:val="Comment Subject Char"/>
    <w:basedOn w:val="CommentTextChar"/>
    <w:link w:val="CommentSubject"/>
    <w:uiPriority w:val="99"/>
    <w:semiHidden/>
    <w:rsid w:val="00104DFB"/>
    <w:rPr>
      <w:rFonts w:ascii="Times New Roman" w:hAnsi="Times New Roman"/>
      <w:b/>
      <w:bCs/>
      <w:sz w:val="20"/>
      <w:szCs w:val="20"/>
    </w:rPr>
  </w:style>
  <w:style w:type="character" w:styleId="Emphasis">
    <w:name w:val="Emphasis"/>
    <w:basedOn w:val="DefaultParagraphFont"/>
    <w:uiPriority w:val="20"/>
    <w:qFormat/>
    <w:rsid w:val="0002718B"/>
    <w:rPr>
      <w:i/>
      <w:iCs/>
    </w:rPr>
  </w:style>
  <w:style w:type="character" w:customStyle="1" w:styleId="apple-converted-space">
    <w:name w:val="apple-converted-space"/>
    <w:basedOn w:val="DefaultParagraphFont"/>
    <w:rsid w:val="0002718B"/>
  </w:style>
  <w:style w:type="character" w:styleId="FollowedHyperlink">
    <w:name w:val="FollowedHyperlink"/>
    <w:basedOn w:val="DefaultParagraphFont"/>
    <w:uiPriority w:val="99"/>
    <w:semiHidden/>
    <w:unhideWhenUsed/>
    <w:rsid w:val="00EF7F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3621">
      <w:bodyDiv w:val="1"/>
      <w:marLeft w:val="0"/>
      <w:marRight w:val="0"/>
      <w:marTop w:val="0"/>
      <w:marBottom w:val="0"/>
      <w:divBdr>
        <w:top w:val="none" w:sz="0" w:space="0" w:color="auto"/>
        <w:left w:val="none" w:sz="0" w:space="0" w:color="auto"/>
        <w:bottom w:val="none" w:sz="0" w:space="0" w:color="auto"/>
        <w:right w:val="none" w:sz="0" w:space="0" w:color="auto"/>
      </w:divBdr>
    </w:div>
    <w:div w:id="55906045">
      <w:bodyDiv w:val="1"/>
      <w:marLeft w:val="0"/>
      <w:marRight w:val="0"/>
      <w:marTop w:val="0"/>
      <w:marBottom w:val="0"/>
      <w:divBdr>
        <w:top w:val="none" w:sz="0" w:space="0" w:color="auto"/>
        <w:left w:val="none" w:sz="0" w:space="0" w:color="auto"/>
        <w:bottom w:val="none" w:sz="0" w:space="0" w:color="auto"/>
        <w:right w:val="none" w:sz="0" w:space="0" w:color="auto"/>
      </w:divBdr>
    </w:div>
    <w:div w:id="112868565">
      <w:bodyDiv w:val="1"/>
      <w:marLeft w:val="0"/>
      <w:marRight w:val="0"/>
      <w:marTop w:val="0"/>
      <w:marBottom w:val="0"/>
      <w:divBdr>
        <w:top w:val="none" w:sz="0" w:space="0" w:color="auto"/>
        <w:left w:val="none" w:sz="0" w:space="0" w:color="auto"/>
        <w:bottom w:val="none" w:sz="0" w:space="0" w:color="auto"/>
        <w:right w:val="none" w:sz="0" w:space="0" w:color="auto"/>
      </w:divBdr>
      <w:divsChild>
        <w:div w:id="75908199">
          <w:marLeft w:val="446"/>
          <w:marRight w:val="0"/>
          <w:marTop w:val="77"/>
          <w:marBottom w:val="0"/>
          <w:divBdr>
            <w:top w:val="none" w:sz="0" w:space="0" w:color="auto"/>
            <w:left w:val="none" w:sz="0" w:space="0" w:color="auto"/>
            <w:bottom w:val="none" w:sz="0" w:space="0" w:color="auto"/>
            <w:right w:val="none" w:sz="0" w:space="0" w:color="auto"/>
          </w:divBdr>
        </w:div>
        <w:div w:id="1840003229">
          <w:marLeft w:val="446"/>
          <w:marRight w:val="0"/>
          <w:marTop w:val="77"/>
          <w:marBottom w:val="0"/>
          <w:divBdr>
            <w:top w:val="none" w:sz="0" w:space="0" w:color="auto"/>
            <w:left w:val="none" w:sz="0" w:space="0" w:color="auto"/>
            <w:bottom w:val="none" w:sz="0" w:space="0" w:color="auto"/>
            <w:right w:val="none" w:sz="0" w:space="0" w:color="auto"/>
          </w:divBdr>
        </w:div>
      </w:divsChild>
    </w:div>
    <w:div w:id="134180083">
      <w:bodyDiv w:val="1"/>
      <w:marLeft w:val="0"/>
      <w:marRight w:val="0"/>
      <w:marTop w:val="0"/>
      <w:marBottom w:val="0"/>
      <w:divBdr>
        <w:top w:val="none" w:sz="0" w:space="0" w:color="auto"/>
        <w:left w:val="none" w:sz="0" w:space="0" w:color="auto"/>
        <w:bottom w:val="none" w:sz="0" w:space="0" w:color="auto"/>
        <w:right w:val="none" w:sz="0" w:space="0" w:color="auto"/>
      </w:divBdr>
    </w:div>
    <w:div w:id="188875489">
      <w:bodyDiv w:val="1"/>
      <w:marLeft w:val="0"/>
      <w:marRight w:val="0"/>
      <w:marTop w:val="0"/>
      <w:marBottom w:val="0"/>
      <w:divBdr>
        <w:top w:val="none" w:sz="0" w:space="0" w:color="auto"/>
        <w:left w:val="none" w:sz="0" w:space="0" w:color="auto"/>
        <w:bottom w:val="none" w:sz="0" w:space="0" w:color="auto"/>
        <w:right w:val="none" w:sz="0" w:space="0" w:color="auto"/>
      </w:divBdr>
    </w:div>
    <w:div w:id="201282815">
      <w:bodyDiv w:val="1"/>
      <w:marLeft w:val="0"/>
      <w:marRight w:val="0"/>
      <w:marTop w:val="0"/>
      <w:marBottom w:val="0"/>
      <w:divBdr>
        <w:top w:val="none" w:sz="0" w:space="0" w:color="auto"/>
        <w:left w:val="none" w:sz="0" w:space="0" w:color="auto"/>
        <w:bottom w:val="none" w:sz="0" w:space="0" w:color="auto"/>
        <w:right w:val="none" w:sz="0" w:space="0" w:color="auto"/>
      </w:divBdr>
    </w:div>
    <w:div w:id="264265756">
      <w:bodyDiv w:val="1"/>
      <w:marLeft w:val="0"/>
      <w:marRight w:val="0"/>
      <w:marTop w:val="0"/>
      <w:marBottom w:val="0"/>
      <w:divBdr>
        <w:top w:val="none" w:sz="0" w:space="0" w:color="auto"/>
        <w:left w:val="none" w:sz="0" w:space="0" w:color="auto"/>
        <w:bottom w:val="none" w:sz="0" w:space="0" w:color="auto"/>
        <w:right w:val="none" w:sz="0" w:space="0" w:color="auto"/>
      </w:divBdr>
    </w:div>
    <w:div w:id="324209412">
      <w:bodyDiv w:val="1"/>
      <w:marLeft w:val="0"/>
      <w:marRight w:val="0"/>
      <w:marTop w:val="0"/>
      <w:marBottom w:val="0"/>
      <w:divBdr>
        <w:top w:val="none" w:sz="0" w:space="0" w:color="auto"/>
        <w:left w:val="none" w:sz="0" w:space="0" w:color="auto"/>
        <w:bottom w:val="none" w:sz="0" w:space="0" w:color="auto"/>
        <w:right w:val="none" w:sz="0" w:space="0" w:color="auto"/>
      </w:divBdr>
    </w:div>
    <w:div w:id="398866817">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sChild>
        <w:div w:id="548419980">
          <w:marLeft w:val="0"/>
          <w:marRight w:val="0"/>
          <w:marTop w:val="0"/>
          <w:marBottom w:val="0"/>
          <w:divBdr>
            <w:top w:val="none" w:sz="0" w:space="0" w:color="auto"/>
            <w:left w:val="none" w:sz="0" w:space="0" w:color="auto"/>
            <w:bottom w:val="none" w:sz="0" w:space="0" w:color="auto"/>
            <w:right w:val="none" w:sz="0" w:space="0" w:color="auto"/>
          </w:divBdr>
        </w:div>
        <w:div w:id="920456737">
          <w:marLeft w:val="0"/>
          <w:marRight w:val="0"/>
          <w:marTop w:val="0"/>
          <w:marBottom w:val="0"/>
          <w:divBdr>
            <w:top w:val="none" w:sz="0" w:space="0" w:color="auto"/>
            <w:left w:val="none" w:sz="0" w:space="0" w:color="auto"/>
            <w:bottom w:val="none" w:sz="0" w:space="0" w:color="auto"/>
            <w:right w:val="none" w:sz="0" w:space="0" w:color="auto"/>
          </w:divBdr>
        </w:div>
        <w:div w:id="237591386">
          <w:marLeft w:val="0"/>
          <w:marRight w:val="0"/>
          <w:marTop w:val="0"/>
          <w:marBottom w:val="0"/>
          <w:divBdr>
            <w:top w:val="none" w:sz="0" w:space="0" w:color="auto"/>
            <w:left w:val="none" w:sz="0" w:space="0" w:color="auto"/>
            <w:bottom w:val="none" w:sz="0" w:space="0" w:color="auto"/>
            <w:right w:val="none" w:sz="0" w:space="0" w:color="auto"/>
          </w:divBdr>
        </w:div>
        <w:div w:id="691610044">
          <w:marLeft w:val="0"/>
          <w:marRight w:val="0"/>
          <w:marTop w:val="0"/>
          <w:marBottom w:val="0"/>
          <w:divBdr>
            <w:top w:val="none" w:sz="0" w:space="0" w:color="auto"/>
            <w:left w:val="none" w:sz="0" w:space="0" w:color="auto"/>
            <w:bottom w:val="none" w:sz="0" w:space="0" w:color="auto"/>
            <w:right w:val="none" w:sz="0" w:space="0" w:color="auto"/>
          </w:divBdr>
        </w:div>
        <w:div w:id="694967090">
          <w:marLeft w:val="0"/>
          <w:marRight w:val="0"/>
          <w:marTop w:val="0"/>
          <w:marBottom w:val="0"/>
          <w:divBdr>
            <w:top w:val="none" w:sz="0" w:space="0" w:color="auto"/>
            <w:left w:val="none" w:sz="0" w:space="0" w:color="auto"/>
            <w:bottom w:val="none" w:sz="0" w:space="0" w:color="auto"/>
            <w:right w:val="none" w:sz="0" w:space="0" w:color="auto"/>
          </w:divBdr>
        </w:div>
        <w:div w:id="1107772575">
          <w:marLeft w:val="0"/>
          <w:marRight w:val="0"/>
          <w:marTop w:val="0"/>
          <w:marBottom w:val="0"/>
          <w:divBdr>
            <w:top w:val="none" w:sz="0" w:space="0" w:color="auto"/>
            <w:left w:val="none" w:sz="0" w:space="0" w:color="auto"/>
            <w:bottom w:val="none" w:sz="0" w:space="0" w:color="auto"/>
            <w:right w:val="none" w:sz="0" w:space="0" w:color="auto"/>
          </w:divBdr>
        </w:div>
        <w:div w:id="686979247">
          <w:marLeft w:val="0"/>
          <w:marRight w:val="0"/>
          <w:marTop w:val="0"/>
          <w:marBottom w:val="0"/>
          <w:divBdr>
            <w:top w:val="none" w:sz="0" w:space="0" w:color="auto"/>
            <w:left w:val="none" w:sz="0" w:space="0" w:color="auto"/>
            <w:bottom w:val="none" w:sz="0" w:space="0" w:color="auto"/>
            <w:right w:val="none" w:sz="0" w:space="0" w:color="auto"/>
          </w:divBdr>
        </w:div>
        <w:div w:id="1985229694">
          <w:marLeft w:val="0"/>
          <w:marRight w:val="0"/>
          <w:marTop w:val="0"/>
          <w:marBottom w:val="0"/>
          <w:divBdr>
            <w:top w:val="none" w:sz="0" w:space="0" w:color="auto"/>
            <w:left w:val="none" w:sz="0" w:space="0" w:color="auto"/>
            <w:bottom w:val="none" w:sz="0" w:space="0" w:color="auto"/>
            <w:right w:val="none" w:sz="0" w:space="0" w:color="auto"/>
          </w:divBdr>
        </w:div>
        <w:div w:id="1969898223">
          <w:marLeft w:val="0"/>
          <w:marRight w:val="0"/>
          <w:marTop w:val="0"/>
          <w:marBottom w:val="0"/>
          <w:divBdr>
            <w:top w:val="none" w:sz="0" w:space="0" w:color="auto"/>
            <w:left w:val="none" w:sz="0" w:space="0" w:color="auto"/>
            <w:bottom w:val="none" w:sz="0" w:space="0" w:color="auto"/>
            <w:right w:val="none" w:sz="0" w:space="0" w:color="auto"/>
          </w:divBdr>
        </w:div>
        <w:div w:id="1537541530">
          <w:marLeft w:val="0"/>
          <w:marRight w:val="0"/>
          <w:marTop w:val="0"/>
          <w:marBottom w:val="0"/>
          <w:divBdr>
            <w:top w:val="none" w:sz="0" w:space="0" w:color="auto"/>
            <w:left w:val="none" w:sz="0" w:space="0" w:color="auto"/>
            <w:bottom w:val="none" w:sz="0" w:space="0" w:color="auto"/>
            <w:right w:val="none" w:sz="0" w:space="0" w:color="auto"/>
          </w:divBdr>
        </w:div>
        <w:div w:id="1653480754">
          <w:marLeft w:val="0"/>
          <w:marRight w:val="0"/>
          <w:marTop w:val="0"/>
          <w:marBottom w:val="0"/>
          <w:divBdr>
            <w:top w:val="none" w:sz="0" w:space="0" w:color="auto"/>
            <w:left w:val="none" w:sz="0" w:space="0" w:color="auto"/>
            <w:bottom w:val="none" w:sz="0" w:space="0" w:color="auto"/>
            <w:right w:val="none" w:sz="0" w:space="0" w:color="auto"/>
          </w:divBdr>
        </w:div>
        <w:div w:id="236015459">
          <w:marLeft w:val="0"/>
          <w:marRight w:val="0"/>
          <w:marTop w:val="0"/>
          <w:marBottom w:val="0"/>
          <w:divBdr>
            <w:top w:val="none" w:sz="0" w:space="0" w:color="auto"/>
            <w:left w:val="none" w:sz="0" w:space="0" w:color="auto"/>
            <w:bottom w:val="none" w:sz="0" w:space="0" w:color="auto"/>
            <w:right w:val="none" w:sz="0" w:space="0" w:color="auto"/>
          </w:divBdr>
        </w:div>
        <w:div w:id="430246084">
          <w:marLeft w:val="0"/>
          <w:marRight w:val="0"/>
          <w:marTop w:val="0"/>
          <w:marBottom w:val="0"/>
          <w:divBdr>
            <w:top w:val="none" w:sz="0" w:space="0" w:color="auto"/>
            <w:left w:val="none" w:sz="0" w:space="0" w:color="auto"/>
            <w:bottom w:val="none" w:sz="0" w:space="0" w:color="auto"/>
            <w:right w:val="none" w:sz="0" w:space="0" w:color="auto"/>
          </w:divBdr>
        </w:div>
        <w:div w:id="1484855609">
          <w:marLeft w:val="0"/>
          <w:marRight w:val="0"/>
          <w:marTop w:val="0"/>
          <w:marBottom w:val="0"/>
          <w:divBdr>
            <w:top w:val="none" w:sz="0" w:space="0" w:color="auto"/>
            <w:left w:val="none" w:sz="0" w:space="0" w:color="auto"/>
            <w:bottom w:val="none" w:sz="0" w:space="0" w:color="auto"/>
            <w:right w:val="none" w:sz="0" w:space="0" w:color="auto"/>
          </w:divBdr>
        </w:div>
      </w:divsChild>
    </w:div>
    <w:div w:id="921108853">
      <w:bodyDiv w:val="1"/>
      <w:marLeft w:val="0"/>
      <w:marRight w:val="0"/>
      <w:marTop w:val="0"/>
      <w:marBottom w:val="0"/>
      <w:divBdr>
        <w:top w:val="none" w:sz="0" w:space="0" w:color="auto"/>
        <w:left w:val="none" w:sz="0" w:space="0" w:color="auto"/>
        <w:bottom w:val="none" w:sz="0" w:space="0" w:color="auto"/>
        <w:right w:val="none" w:sz="0" w:space="0" w:color="auto"/>
      </w:divBdr>
    </w:div>
    <w:div w:id="1033455834">
      <w:bodyDiv w:val="1"/>
      <w:marLeft w:val="0"/>
      <w:marRight w:val="0"/>
      <w:marTop w:val="0"/>
      <w:marBottom w:val="0"/>
      <w:divBdr>
        <w:top w:val="none" w:sz="0" w:space="0" w:color="auto"/>
        <w:left w:val="none" w:sz="0" w:space="0" w:color="auto"/>
        <w:bottom w:val="none" w:sz="0" w:space="0" w:color="auto"/>
        <w:right w:val="none" w:sz="0" w:space="0" w:color="auto"/>
      </w:divBdr>
    </w:div>
    <w:div w:id="1202355585">
      <w:bodyDiv w:val="1"/>
      <w:marLeft w:val="0"/>
      <w:marRight w:val="0"/>
      <w:marTop w:val="0"/>
      <w:marBottom w:val="0"/>
      <w:divBdr>
        <w:top w:val="none" w:sz="0" w:space="0" w:color="auto"/>
        <w:left w:val="none" w:sz="0" w:space="0" w:color="auto"/>
        <w:bottom w:val="none" w:sz="0" w:space="0" w:color="auto"/>
        <w:right w:val="none" w:sz="0" w:space="0" w:color="auto"/>
      </w:divBdr>
      <w:divsChild>
        <w:div w:id="1517845279">
          <w:marLeft w:val="0"/>
          <w:marRight w:val="0"/>
          <w:marTop w:val="0"/>
          <w:marBottom w:val="0"/>
          <w:divBdr>
            <w:top w:val="none" w:sz="0" w:space="0" w:color="auto"/>
            <w:left w:val="none" w:sz="0" w:space="0" w:color="auto"/>
            <w:bottom w:val="none" w:sz="0" w:space="0" w:color="auto"/>
            <w:right w:val="none" w:sz="0" w:space="0" w:color="auto"/>
          </w:divBdr>
        </w:div>
        <w:div w:id="103575628">
          <w:marLeft w:val="0"/>
          <w:marRight w:val="0"/>
          <w:marTop w:val="0"/>
          <w:marBottom w:val="0"/>
          <w:divBdr>
            <w:top w:val="none" w:sz="0" w:space="0" w:color="auto"/>
            <w:left w:val="none" w:sz="0" w:space="0" w:color="auto"/>
            <w:bottom w:val="none" w:sz="0" w:space="0" w:color="auto"/>
            <w:right w:val="none" w:sz="0" w:space="0" w:color="auto"/>
          </w:divBdr>
        </w:div>
      </w:divsChild>
    </w:div>
    <w:div w:id="1249192364">
      <w:bodyDiv w:val="1"/>
      <w:marLeft w:val="0"/>
      <w:marRight w:val="0"/>
      <w:marTop w:val="0"/>
      <w:marBottom w:val="0"/>
      <w:divBdr>
        <w:top w:val="none" w:sz="0" w:space="0" w:color="auto"/>
        <w:left w:val="none" w:sz="0" w:space="0" w:color="auto"/>
        <w:bottom w:val="none" w:sz="0" w:space="0" w:color="auto"/>
        <w:right w:val="none" w:sz="0" w:space="0" w:color="auto"/>
      </w:divBdr>
      <w:divsChild>
        <w:div w:id="4213704">
          <w:marLeft w:val="0"/>
          <w:marRight w:val="0"/>
          <w:marTop w:val="0"/>
          <w:marBottom w:val="0"/>
          <w:divBdr>
            <w:top w:val="none" w:sz="0" w:space="0" w:color="auto"/>
            <w:left w:val="none" w:sz="0" w:space="0" w:color="auto"/>
            <w:bottom w:val="none" w:sz="0" w:space="0" w:color="auto"/>
            <w:right w:val="none" w:sz="0" w:space="0" w:color="auto"/>
          </w:divBdr>
        </w:div>
      </w:divsChild>
    </w:div>
    <w:div w:id="1298991823">
      <w:bodyDiv w:val="1"/>
      <w:marLeft w:val="0"/>
      <w:marRight w:val="0"/>
      <w:marTop w:val="0"/>
      <w:marBottom w:val="0"/>
      <w:divBdr>
        <w:top w:val="none" w:sz="0" w:space="0" w:color="auto"/>
        <w:left w:val="none" w:sz="0" w:space="0" w:color="auto"/>
        <w:bottom w:val="none" w:sz="0" w:space="0" w:color="auto"/>
        <w:right w:val="none" w:sz="0" w:space="0" w:color="auto"/>
      </w:divBdr>
    </w:div>
    <w:div w:id="1385715692">
      <w:bodyDiv w:val="1"/>
      <w:marLeft w:val="0"/>
      <w:marRight w:val="0"/>
      <w:marTop w:val="0"/>
      <w:marBottom w:val="0"/>
      <w:divBdr>
        <w:top w:val="none" w:sz="0" w:space="0" w:color="auto"/>
        <w:left w:val="none" w:sz="0" w:space="0" w:color="auto"/>
        <w:bottom w:val="none" w:sz="0" w:space="0" w:color="auto"/>
        <w:right w:val="none" w:sz="0" w:space="0" w:color="auto"/>
      </w:divBdr>
    </w:div>
    <w:div w:id="2069063842">
      <w:bodyDiv w:val="1"/>
      <w:marLeft w:val="0"/>
      <w:marRight w:val="0"/>
      <w:marTop w:val="0"/>
      <w:marBottom w:val="0"/>
      <w:divBdr>
        <w:top w:val="none" w:sz="0" w:space="0" w:color="auto"/>
        <w:left w:val="none" w:sz="0" w:space="0" w:color="auto"/>
        <w:bottom w:val="none" w:sz="0" w:space="0" w:color="auto"/>
        <w:right w:val="none" w:sz="0" w:space="0" w:color="auto"/>
      </w:divBdr>
    </w:div>
    <w:div w:id="21339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knab.gov.lv/upload/biroja_reglaments_2016.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oecd.org/corruption/acn/istanbulactionplan/" TargetMode="External"/><Relationship Id="rId3" Type="http://schemas.openxmlformats.org/officeDocument/2006/relationships/hyperlink" Target="http://www.oecd.org/eco/surveys/economic-survey-latvia.htm" TargetMode="External"/><Relationship Id="rId7" Type="http://schemas.openxmlformats.org/officeDocument/2006/relationships/hyperlink" Target="https://www.vestnesis.lv/op/2016/123.11" TargetMode="External"/><Relationship Id="rId2" Type="http://schemas.openxmlformats.org/officeDocument/2006/relationships/hyperlink" Target="https://datahelpdesk.worldbank.org/knowledgebase/articles/906519-world-bank-country-and-lending-groups" TargetMode="External"/><Relationship Id="rId1" Type="http://schemas.openxmlformats.org/officeDocument/2006/relationships/hyperlink" Target="http://www.transparency.org/news/feature/corruption_perceptions_index_2016" TargetMode="External"/><Relationship Id="rId6" Type="http://schemas.openxmlformats.org/officeDocument/2006/relationships/hyperlink" Target="http://tap.mk.gov.lv/lv/mk/tap/?pid=40393726" TargetMode="External"/><Relationship Id="rId5" Type="http://schemas.openxmlformats.org/officeDocument/2006/relationships/hyperlink" Target="http://www.saeima.lv/lv/aktualitates/saeimas-zinas/24797-saeima-atsakas-no-deputatu-imunitates-administrativajas-lietas" TargetMode="External"/><Relationship Id="rId4" Type="http://schemas.openxmlformats.org/officeDocument/2006/relationships/hyperlink" Target="http://reports.weforum.org/global-competitiveness-index-2017-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14EE-37F2-466E-A81D-95D23609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40157</Words>
  <Characters>22890</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62922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Ceicāne</dc:creator>
  <cp:lastModifiedBy>Laura Dūša</cp:lastModifiedBy>
  <cp:revision>3</cp:revision>
  <cp:lastPrinted>2018-01-30T11:18:00Z</cp:lastPrinted>
  <dcterms:created xsi:type="dcterms:W3CDTF">2018-01-30T11:17:00Z</dcterms:created>
  <dcterms:modified xsi:type="dcterms:W3CDTF">2018-01-30T11:18:00Z</dcterms:modified>
</cp:coreProperties>
</file>