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99" w:rsidRPr="00C41916" w:rsidRDefault="005C7C99" w:rsidP="006C79D7">
      <w:pPr>
        <w:spacing w:after="0"/>
        <w:ind w:firstLine="567"/>
        <w:jc w:val="center"/>
        <w:rPr>
          <w:rFonts w:ascii="Times New Roman" w:hAnsi="Times New Roman" w:cs="Times New Roman"/>
          <w:b/>
          <w:sz w:val="24"/>
          <w:szCs w:val="24"/>
        </w:rPr>
      </w:pPr>
      <w:bookmarkStart w:id="0" w:name="_GoBack"/>
      <w:bookmarkEnd w:id="0"/>
    </w:p>
    <w:p w:rsidR="005C7C99" w:rsidRPr="00C41916" w:rsidRDefault="005C7C99" w:rsidP="006C79D7">
      <w:pPr>
        <w:spacing w:after="0"/>
        <w:ind w:firstLine="567"/>
        <w:jc w:val="center"/>
        <w:rPr>
          <w:rFonts w:ascii="Times New Roman" w:hAnsi="Times New Roman" w:cs="Times New Roman"/>
          <w:b/>
          <w:sz w:val="24"/>
          <w:szCs w:val="24"/>
        </w:rPr>
      </w:pPr>
    </w:p>
    <w:p w:rsidR="005C7C99" w:rsidRPr="00C41916" w:rsidRDefault="008B0AE5" w:rsidP="006C79D7">
      <w:pPr>
        <w:spacing w:after="0"/>
        <w:jc w:val="center"/>
        <w:rPr>
          <w:rFonts w:ascii="Times New Roman" w:hAnsi="Times New Roman" w:cs="Times New Roman"/>
          <w:b/>
          <w:sz w:val="24"/>
          <w:szCs w:val="24"/>
        </w:rPr>
      </w:pPr>
      <w:r>
        <w:rPr>
          <w:noProof/>
          <w:lang w:eastAsia="lv-LV"/>
        </w:rPr>
        <w:drawing>
          <wp:inline distT="0" distB="0" distL="0" distR="0" wp14:anchorId="3B48FFC6" wp14:editId="4346483D">
            <wp:extent cx="1566407" cy="1821806"/>
            <wp:effectExtent l="0" t="0" r="0" b="7620"/>
            <wp:docPr id="12" name="Picture 12" descr="Saistīts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stīts attē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566" cy="1821991"/>
                    </a:xfrm>
                    <a:prstGeom prst="rect">
                      <a:avLst/>
                    </a:prstGeom>
                    <a:noFill/>
                    <a:ln>
                      <a:noFill/>
                    </a:ln>
                  </pic:spPr>
                </pic:pic>
              </a:graphicData>
            </a:graphic>
          </wp:inline>
        </w:drawing>
      </w:r>
    </w:p>
    <w:p w:rsidR="005C7C99" w:rsidRPr="00C41916" w:rsidRDefault="005C7C99" w:rsidP="006C79D7">
      <w:pPr>
        <w:spacing w:after="0"/>
        <w:ind w:firstLine="567"/>
        <w:jc w:val="center"/>
        <w:rPr>
          <w:rFonts w:ascii="Times New Roman" w:hAnsi="Times New Roman" w:cs="Times New Roman"/>
          <w:b/>
          <w:sz w:val="24"/>
          <w:szCs w:val="24"/>
        </w:rPr>
      </w:pPr>
    </w:p>
    <w:p w:rsidR="005C7C99" w:rsidRPr="00C41916" w:rsidRDefault="005C7C99" w:rsidP="006C79D7">
      <w:pPr>
        <w:spacing w:after="0"/>
        <w:ind w:firstLine="567"/>
        <w:jc w:val="center"/>
        <w:rPr>
          <w:rFonts w:ascii="Times New Roman" w:hAnsi="Times New Roman" w:cs="Times New Roman"/>
          <w:b/>
          <w:sz w:val="24"/>
          <w:szCs w:val="24"/>
        </w:rPr>
      </w:pPr>
    </w:p>
    <w:p w:rsidR="005C7C99" w:rsidRPr="00C41916" w:rsidRDefault="005C7C99" w:rsidP="006C79D7">
      <w:pPr>
        <w:spacing w:after="0"/>
        <w:ind w:firstLine="567"/>
        <w:jc w:val="center"/>
        <w:rPr>
          <w:rFonts w:ascii="Times New Roman" w:hAnsi="Times New Roman" w:cs="Times New Roman"/>
          <w:b/>
          <w:sz w:val="24"/>
          <w:szCs w:val="24"/>
        </w:rPr>
      </w:pPr>
    </w:p>
    <w:p w:rsidR="005C7C99" w:rsidRPr="00C41916" w:rsidRDefault="005C7C99" w:rsidP="006C79D7">
      <w:pPr>
        <w:spacing w:after="0"/>
        <w:ind w:firstLine="567"/>
        <w:jc w:val="center"/>
        <w:rPr>
          <w:rFonts w:ascii="Times New Roman" w:hAnsi="Times New Roman" w:cs="Times New Roman"/>
          <w:b/>
          <w:sz w:val="24"/>
          <w:szCs w:val="24"/>
        </w:rPr>
      </w:pPr>
    </w:p>
    <w:p w:rsidR="005C7C99" w:rsidRPr="00C41916" w:rsidRDefault="005C7C99" w:rsidP="006C79D7">
      <w:pPr>
        <w:spacing w:after="0"/>
        <w:ind w:firstLine="567"/>
        <w:jc w:val="center"/>
        <w:rPr>
          <w:rFonts w:ascii="Times New Roman" w:hAnsi="Times New Roman" w:cs="Times New Roman"/>
          <w:b/>
          <w:sz w:val="24"/>
          <w:szCs w:val="24"/>
        </w:rPr>
      </w:pPr>
    </w:p>
    <w:p w:rsidR="005C7C99" w:rsidRPr="003C1992" w:rsidRDefault="005C7C99" w:rsidP="006C79D7">
      <w:pPr>
        <w:jc w:val="center"/>
        <w:rPr>
          <w:rFonts w:ascii="Times New Roman" w:hAnsi="Times New Roman" w:cs="Times New Roman"/>
          <w:b/>
          <w:sz w:val="32"/>
          <w:szCs w:val="32"/>
        </w:rPr>
      </w:pPr>
      <w:bookmarkStart w:id="1" w:name="_Toc474219909"/>
      <w:bookmarkStart w:id="2" w:name="_Toc474220287"/>
      <w:bookmarkStart w:id="3" w:name="_Toc474220914"/>
      <w:bookmarkStart w:id="4" w:name="_Toc474410733"/>
      <w:bookmarkStart w:id="5" w:name="_Toc474410883"/>
      <w:bookmarkStart w:id="6" w:name="_Toc474410923"/>
      <w:bookmarkStart w:id="7" w:name="_Toc474411081"/>
      <w:bookmarkStart w:id="8" w:name="_Toc474411154"/>
      <w:r w:rsidRPr="003C1992">
        <w:rPr>
          <w:rFonts w:ascii="Times New Roman" w:hAnsi="Times New Roman" w:cs="Times New Roman"/>
          <w:b/>
          <w:sz w:val="32"/>
          <w:szCs w:val="32"/>
        </w:rPr>
        <w:t>Ziņojums</w:t>
      </w:r>
      <w:bookmarkEnd w:id="1"/>
      <w:bookmarkEnd w:id="2"/>
      <w:bookmarkEnd w:id="3"/>
      <w:bookmarkEnd w:id="4"/>
      <w:bookmarkEnd w:id="5"/>
      <w:bookmarkEnd w:id="6"/>
      <w:bookmarkEnd w:id="7"/>
      <w:bookmarkEnd w:id="8"/>
    </w:p>
    <w:p w:rsidR="005C7C99" w:rsidRDefault="005C7C99" w:rsidP="006C79D7">
      <w:pPr>
        <w:spacing w:after="0"/>
        <w:jc w:val="center"/>
        <w:rPr>
          <w:rFonts w:ascii="Times New Roman" w:hAnsi="Times New Roman" w:cs="Times New Roman"/>
          <w:b/>
          <w:sz w:val="32"/>
          <w:szCs w:val="32"/>
        </w:rPr>
      </w:pPr>
    </w:p>
    <w:p w:rsidR="00B72ED6" w:rsidRPr="00C41916" w:rsidRDefault="00B72ED6" w:rsidP="006C79D7">
      <w:pPr>
        <w:spacing w:after="0"/>
        <w:jc w:val="center"/>
        <w:rPr>
          <w:rFonts w:ascii="Times New Roman" w:hAnsi="Times New Roman" w:cs="Times New Roman"/>
          <w:b/>
          <w:sz w:val="32"/>
          <w:szCs w:val="32"/>
        </w:rPr>
      </w:pPr>
    </w:p>
    <w:p w:rsidR="005C7C99" w:rsidRPr="00C41916" w:rsidRDefault="00B72ED6" w:rsidP="006C79D7">
      <w:pPr>
        <w:spacing w:after="0"/>
        <w:jc w:val="center"/>
        <w:rPr>
          <w:rFonts w:ascii="Times New Roman" w:hAnsi="Times New Roman" w:cs="Times New Roman"/>
          <w:b/>
          <w:sz w:val="32"/>
          <w:szCs w:val="32"/>
        </w:rPr>
      </w:pPr>
      <w:r>
        <w:rPr>
          <w:rFonts w:ascii="Times New Roman" w:hAnsi="Times New Roman" w:cs="Times New Roman"/>
          <w:b/>
          <w:sz w:val="32"/>
          <w:szCs w:val="32"/>
        </w:rPr>
        <w:t>“</w:t>
      </w:r>
      <w:r w:rsidR="005C7C99" w:rsidRPr="00C41916">
        <w:rPr>
          <w:rFonts w:ascii="Times New Roman" w:hAnsi="Times New Roman" w:cs="Times New Roman"/>
          <w:b/>
          <w:sz w:val="32"/>
          <w:szCs w:val="32"/>
        </w:rPr>
        <w:t>Par Korupcijas novēršanas un apkarošanas biroja</w:t>
      </w:r>
    </w:p>
    <w:p w:rsidR="005C7C99" w:rsidRPr="00C41916" w:rsidRDefault="005C7C99" w:rsidP="006C79D7">
      <w:pPr>
        <w:spacing w:after="0"/>
        <w:jc w:val="center"/>
        <w:rPr>
          <w:rFonts w:ascii="Times New Roman" w:hAnsi="Times New Roman" w:cs="Times New Roman"/>
          <w:b/>
          <w:sz w:val="32"/>
          <w:szCs w:val="32"/>
        </w:rPr>
      </w:pPr>
      <w:r w:rsidRPr="00C41916">
        <w:rPr>
          <w:rFonts w:ascii="Times New Roman" w:hAnsi="Times New Roman" w:cs="Times New Roman"/>
          <w:b/>
          <w:sz w:val="32"/>
          <w:szCs w:val="32"/>
        </w:rPr>
        <w:t>darb</w:t>
      </w:r>
      <w:r>
        <w:rPr>
          <w:rFonts w:ascii="Times New Roman" w:hAnsi="Times New Roman" w:cs="Times New Roman"/>
          <w:b/>
          <w:sz w:val="32"/>
          <w:szCs w:val="32"/>
        </w:rPr>
        <w:t>ību</w:t>
      </w:r>
      <w:r w:rsidRPr="00C41916">
        <w:rPr>
          <w:rFonts w:ascii="Times New Roman" w:hAnsi="Times New Roman" w:cs="Times New Roman"/>
          <w:b/>
          <w:sz w:val="32"/>
          <w:szCs w:val="32"/>
        </w:rPr>
        <w:t xml:space="preserve"> 201</w:t>
      </w:r>
      <w:r w:rsidR="00B72ED6">
        <w:rPr>
          <w:rFonts w:ascii="Times New Roman" w:hAnsi="Times New Roman" w:cs="Times New Roman"/>
          <w:b/>
          <w:sz w:val="32"/>
          <w:szCs w:val="32"/>
        </w:rPr>
        <w:t>7.gadā”</w:t>
      </w:r>
    </w:p>
    <w:p w:rsidR="005C7C99" w:rsidRDefault="005C7C99" w:rsidP="006C79D7">
      <w:pPr>
        <w:rPr>
          <w:rFonts w:ascii="Times New Roman" w:hAnsi="Times New Roman" w:cs="Times New Roman"/>
          <w:b/>
          <w:sz w:val="24"/>
          <w:szCs w:val="24"/>
        </w:rPr>
      </w:pPr>
      <w:r>
        <w:rPr>
          <w:rFonts w:ascii="Times New Roman" w:hAnsi="Times New Roman" w:cs="Times New Roman"/>
          <w:b/>
          <w:sz w:val="24"/>
          <w:szCs w:val="24"/>
        </w:rPr>
        <w:br w:type="page"/>
      </w:r>
    </w:p>
    <w:sdt>
      <w:sdtPr>
        <w:id w:val="56372843"/>
        <w:docPartObj>
          <w:docPartGallery w:val="Table of Contents"/>
          <w:docPartUnique/>
        </w:docPartObj>
      </w:sdtPr>
      <w:sdtEndPr>
        <w:rPr>
          <w:b/>
          <w:bCs/>
          <w:noProof/>
        </w:rPr>
      </w:sdtEndPr>
      <w:sdtContent>
        <w:p w:rsidR="009060F2" w:rsidRDefault="009060F2" w:rsidP="009060F2">
          <w:pPr>
            <w:jc w:val="center"/>
            <w:rPr>
              <w:rFonts w:ascii="Times New Roman" w:hAnsi="Times New Roman" w:cs="Times New Roman"/>
              <w:b/>
              <w:sz w:val="28"/>
              <w:szCs w:val="28"/>
            </w:rPr>
          </w:pPr>
          <w:r w:rsidRPr="00A02726">
            <w:rPr>
              <w:rFonts w:ascii="Times New Roman" w:hAnsi="Times New Roman" w:cs="Times New Roman"/>
              <w:b/>
              <w:sz w:val="28"/>
              <w:szCs w:val="28"/>
            </w:rPr>
            <w:t>SATURS</w:t>
          </w:r>
        </w:p>
        <w:p w:rsidR="009060F2" w:rsidRPr="009060F2" w:rsidRDefault="009060F2" w:rsidP="009060F2">
          <w:pPr>
            <w:pStyle w:val="TOC2"/>
            <w:tabs>
              <w:tab w:val="right" w:leader="dot" w:pos="9061"/>
            </w:tabs>
            <w:spacing w:before="0" w:line="360" w:lineRule="auto"/>
            <w:rPr>
              <w:rFonts w:ascii="Times New Roman" w:eastAsiaTheme="minorEastAsia" w:hAnsi="Times New Roman" w:cs="Times New Roman"/>
              <w:b w:val="0"/>
              <w:bCs w:val="0"/>
              <w:noProof/>
              <w:sz w:val="24"/>
              <w:szCs w:val="24"/>
              <w:lang w:eastAsia="lv-LV"/>
            </w:rPr>
          </w:pPr>
          <w:r w:rsidRPr="009060F2">
            <w:rPr>
              <w:rFonts w:ascii="Times New Roman" w:hAnsi="Times New Roman" w:cs="Times New Roman"/>
              <w:b w:val="0"/>
              <w:sz w:val="24"/>
              <w:szCs w:val="24"/>
            </w:rPr>
            <w:fldChar w:fldCharType="begin"/>
          </w:r>
          <w:r w:rsidRPr="009060F2">
            <w:rPr>
              <w:rFonts w:ascii="Times New Roman" w:hAnsi="Times New Roman" w:cs="Times New Roman"/>
              <w:b w:val="0"/>
              <w:sz w:val="24"/>
              <w:szCs w:val="24"/>
            </w:rPr>
            <w:instrText xml:space="preserve"> TOC \o "1-3" \h \z \u </w:instrText>
          </w:r>
          <w:r w:rsidRPr="009060F2">
            <w:rPr>
              <w:rFonts w:ascii="Times New Roman" w:hAnsi="Times New Roman" w:cs="Times New Roman"/>
              <w:b w:val="0"/>
              <w:sz w:val="24"/>
              <w:szCs w:val="24"/>
            </w:rPr>
            <w:fldChar w:fldCharType="separate"/>
          </w:r>
          <w:hyperlink w:anchor="_Toc505249162" w:history="1">
            <w:r w:rsidRPr="009060F2">
              <w:rPr>
                <w:rStyle w:val="Hyperlink"/>
                <w:rFonts w:ascii="Times New Roman" w:hAnsi="Times New Roman" w:cs="Times New Roman"/>
                <w:b w:val="0"/>
                <w:noProof/>
                <w:sz w:val="24"/>
                <w:szCs w:val="24"/>
              </w:rPr>
              <w:t>1. Korupcijas novēršanas un apkarošanas biroja darbības vispārīgs raksturojums</w:t>
            </w:r>
            <w:r w:rsidRPr="009060F2">
              <w:rPr>
                <w:rFonts w:ascii="Times New Roman" w:hAnsi="Times New Roman" w:cs="Times New Roman"/>
                <w:b w:val="0"/>
                <w:noProof/>
                <w:webHidden/>
                <w:sz w:val="24"/>
                <w:szCs w:val="24"/>
              </w:rPr>
              <w:tab/>
            </w:r>
            <w:r w:rsidRPr="009060F2">
              <w:rPr>
                <w:rFonts w:ascii="Times New Roman" w:hAnsi="Times New Roman" w:cs="Times New Roman"/>
                <w:b w:val="0"/>
                <w:noProof/>
                <w:webHidden/>
                <w:sz w:val="24"/>
                <w:szCs w:val="24"/>
              </w:rPr>
              <w:fldChar w:fldCharType="begin"/>
            </w:r>
            <w:r w:rsidRPr="009060F2">
              <w:rPr>
                <w:rFonts w:ascii="Times New Roman" w:hAnsi="Times New Roman" w:cs="Times New Roman"/>
                <w:b w:val="0"/>
                <w:noProof/>
                <w:webHidden/>
                <w:sz w:val="24"/>
                <w:szCs w:val="24"/>
              </w:rPr>
              <w:instrText xml:space="preserve"> PAGEREF _Toc505249162 \h </w:instrText>
            </w:r>
            <w:r w:rsidRPr="009060F2">
              <w:rPr>
                <w:rFonts w:ascii="Times New Roman" w:hAnsi="Times New Roman" w:cs="Times New Roman"/>
                <w:b w:val="0"/>
                <w:noProof/>
                <w:webHidden/>
                <w:sz w:val="24"/>
                <w:szCs w:val="24"/>
              </w:rPr>
            </w:r>
            <w:r w:rsidRPr="009060F2">
              <w:rPr>
                <w:rFonts w:ascii="Times New Roman" w:hAnsi="Times New Roman" w:cs="Times New Roman"/>
                <w:b w:val="0"/>
                <w:noProof/>
                <w:webHidden/>
                <w:sz w:val="24"/>
                <w:szCs w:val="24"/>
              </w:rPr>
              <w:fldChar w:fldCharType="separate"/>
            </w:r>
            <w:r w:rsidR="00766EF5">
              <w:rPr>
                <w:rFonts w:ascii="Times New Roman" w:hAnsi="Times New Roman" w:cs="Times New Roman"/>
                <w:b w:val="0"/>
                <w:noProof/>
                <w:webHidden/>
                <w:sz w:val="24"/>
                <w:szCs w:val="24"/>
              </w:rPr>
              <w:t>3</w:t>
            </w:r>
            <w:r w:rsidRPr="009060F2">
              <w:rPr>
                <w:rFonts w:ascii="Times New Roman" w:hAnsi="Times New Roman" w:cs="Times New Roman"/>
                <w:b w:val="0"/>
                <w:noProof/>
                <w:webHidden/>
                <w:sz w:val="24"/>
                <w:szCs w:val="24"/>
              </w:rPr>
              <w:fldChar w:fldCharType="end"/>
            </w:r>
          </w:hyperlink>
        </w:p>
        <w:p w:rsidR="009060F2" w:rsidRPr="009060F2" w:rsidRDefault="00CC7E5E" w:rsidP="009060F2">
          <w:pPr>
            <w:pStyle w:val="TOC3"/>
            <w:tabs>
              <w:tab w:val="right" w:leader="dot" w:pos="9061"/>
            </w:tabs>
            <w:spacing w:line="360" w:lineRule="auto"/>
            <w:ind w:left="567"/>
            <w:rPr>
              <w:rFonts w:ascii="Times New Roman" w:eastAsiaTheme="minorEastAsia" w:hAnsi="Times New Roman" w:cs="Times New Roman"/>
              <w:noProof/>
              <w:sz w:val="24"/>
              <w:szCs w:val="24"/>
              <w:lang w:eastAsia="lv-LV"/>
            </w:rPr>
          </w:pPr>
          <w:hyperlink w:anchor="_Toc505249163" w:history="1">
            <w:r w:rsidR="009060F2" w:rsidRPr="009060F2">
              <w:rPr>
                <w:rStyle w:val="Hyperlink"/>
                <w:rFonts w:ascii="Times New Roman" w:hAnsi="Times New Roman" w:cs="Times New Roman"/>
                <w:noProof/>
                <w:sz w:val="24"/>
                <w:szCs w:val="24"/>
              </w:rPr>
              <w:t>1.1. Biroja juridiskais statuss, funkcijas, prioritātes un darbības virzieni</w:t>
            </w:r>
            <w:r w:rsidR="009060F2" w:rsidRPr="009060F2">
              <w:rPr>
                <w:rFonts w:ascii="Times New Roman" w:hAnsi="Times New Roman" w:cs="Times New Roman"/>
                <w:noProof/>
                <w:webHidden/>
                <w:sz w:val="24"/>
                <w:szCs w:val="24"/>
              </w:rPr>
              <w:tab/>
            </w:r>
            <w:r w:rsidR="009060F2" w:rsidRPr="009060F2">
              <w:rPr>
                <w:rFonts w:ascii="Times New Roman" w:hAnsi="Times New Roman" w:cs="Times New Roman"/>
                <w:noProof/>
                <w:webHidden/>
                <w:sz w:val="24"/>
                <w:szCs w:val="24"/>
              </w:rPr>
              <w:fldChar w:fldCharType="begin"/>
            </w:r>
            <w:r w:rsidR="009060F2" w:rsidRPr="009060F2">
              <w:rPr>
                <w:rFonts w:ascii="Times New Roman" w:hAnsi="Times New Roman" w:cs="Times New Roman"/>
                <w:noProof/>
                <w:webHidden/>
                <w:sz w:val="24"/>
                <w:szCs w:val="24"/>
              </w:rPr>
              <w:instrText xml:space="preserve"> PAGEREF _Toc505249163 \h </w:instrText>
            </w:r>
            <w:r w:rsidR="009060F2" w:rsidRPr="009060F2">
              <w:rPr>
                <w:rFonts w:ascii="Times New Roman" w:hAnsi="Times New Roman" w:cs="Times New Roman"/>
                <w:noProof/>
                <w:webHidden/>
                <w:sz w:val="24"/>
                <w:szCs w:val="24"/>
              </w:rPr>
            </w:r>
            <w:r w:rsidR="009060F2" w:rsidRPr="009060F2">
              <w:rPr>
                <w:rFonts w:ascii="Times New Roman" w:hAnsi="Times New Roman" w:cs="Times New Roman"/>
                <w:noProof/>
                <w:webHidden/>
                <w:sz w:val="24"/>
                <w:szCs w:val="24"/>
              </w:rPr>
              <w:fldChar w:fldCharType="separate"/>
            </w:r>
            <w:r w:rsidR="00766EF5">
              <w:rPr>
                <w:rFonts w:ascii="Times New Roman" w:hAnsi="Times New Roman" w:cs="Times New Roman"/>
                <w:noProof/>
                <w:webHidden/>
                <w:sz w:val="24"/>
                <w:szCs w:val="24"/>
              </w:rPr>
              <w:t>3</w:t>
            </w:r>
            <w:r w:rsidR="009060F2" w:rsidRPr="009060F2">
              <w:rPr>
                <w:rFonts w:ascii="Times New Roman" w:hAnsi="Times New Roman" w:cs="Times New Roman"/>
                <w:noProof/>
                <w:webHidden/>
                <w:sz w:val="24"/>
                <w:szCs w:val="24"/>
              </w:rPr>
              <w:fldChar w:fldCharType="end"/>
            </w:r>
          </w:hyperlink>
        </w:p>
        <w:p w:rsidR="009060F2" w:rsidRPr="009060F2" w:rsidRDefault="00CC7E5E" w:rsidP="009060F2">
          <w:pPr>
            <w:pStyle w:val="TOC3"/>
            <w:tabs>
              <w:tab w:val="right" w:leader="dot" w:pos="9061"/>
            </w:tabs>
            <w:spacing w:line="360" w:lineRule="auto"/>
            <w:ind w:left="567"/>
            <w:rPr>
              <w:rFonts w:ascii="Times New Roman" w:eastAsiaTheme="minorEastAsia" w:hAnsi="Times New Roman" w:cs="Times New Roman"/>
              <w:noProof/>
              <w:sz w:val="24"/>
              <w:szCs w:val="24"/>
              <w:lang w:eastAsia="lv-LV"/>
            </w:rPr>
          </w:pPr>
          <w:hyperlink w:anchor="_Toc505249164" w:history="1">
            <w:r w:rsidR="009060F2" w:rsidRPr="009060F2">
              <w:rPr>
                <w:rStyle w:val="Hyperlink"/>
                <w:rFonts w:ascii="Times New Roman" w:hAnsi="Times New Roman" w:cs="Times New Roman"/>
                <w:noProof/>
                <w:sz w:val="24"/>
                <w:szCs w:val="24"/>
              </w:rPr>
              <w:t>1.2. Sabiedrības līdzdalība</w:t>
            </w:r>
            <w:r w:rsidR="009060F2" w:rsidRPr="009060F2">
              <w:rPr>
                <w:rFonts w:ascii="Times New Roman" w:hAnsi="Times New Roman" w:cs="Times New Roman"/>
                <w:noProof/>
                <w:webHidden/>
                <w:sz w:val="24"/>
                <w:szCs w:val="24"/>
              </w:rPr>
              <w:tab/>
            </w:r>
            <w:r w:rsidR="009060F2" w:rsidRPr="009060F2">
              <w:rPr>
                <w:rFonts w:ascii="Times New Roman" w:hAnsi="Times New Roman" w:cs="Times New Roman"/>
                <w:noProof/>
                <w:webHidden/>
                <w:sz w:val="24"/>
                <w:szCs w:val="24"/>
              </w:rPr>
              <w:fldChar w:fldCharType="begin"/>
            </w:r>
            <w:r w:rsidR="009060F2" w:rsidRPr="009060F2">
              <w:rPr>
                <w:rFonts w:ascii="Times New Roman" w:hAnsi="Times New Roman" w:cs="Times New Roman"/>
                <w:noProof/>
                <w:webHidden/>
                <w:sz w:val="24"/>
                <w:szCs w:val="24"/>
              </w:rPr>
              <w:instrText xml:space="preserve"> PAGEREF _Toc505249164 \h </w:instrText>
            </w:r>
            <w:r w:rsidR="009060F2" w:rsidRPr="009060F2">
              <w:rPr>
                <w:rFonts w:ascii="Times New Roman" w:hAnsi="Times New Roman" w:cs="Times New Roman"/>
                <w:noProof/>
                <w:webHidden/>
                <w:sz w:val="24"/>
                <w:szCs w:val="24"/>
              </w:rPr>
            </w:r>
            <w:r w:rsidR="009060F2" w:rsidRPr="009060F2">
              <w:rPr>
                <w:rFonts w:ascii="Times New Roman" w:hAnsi="Times New Roman" w:cs="Times New Roman"/>
                <w:noProof/>
                <w:webHidden/>
                <w:sz w:val="24"/>
                <w:szCs w:val="24"/>
              </w:rPr>
              <w:fldChar w:fldCharType="separate"/>
            </w:r>
            <w:r w:rsidR="00766EF5">
              <w:rPr>
                <w:rFonts w:ascii="Times New Roman" w:hAnsi="Times New Roman" w:cs="Times New Roman"/>
                <w:noProof/>
                <w:webHidden/>
                <w:sz w:val="24"/>
                <w:szCs w:val="24"/>
              </w:rPr>
              <w:t>5</w:t>
            </w:r>
            <w:r w:rsidR="009060F2" w:rsidRPr="009060F2">
              <w:rPr>
                <w:rFonts w:ascii="Times New Roman" w:hAnsi="Times New Roman" w:cs="Times New Roman"/>
                <w:noProof/>
                <w:webHidden/>
                <w:sz w:val="24"/>
                <w:szCs w:val="24"/>
              </w:rPr>
              <w:fldChar w:fldCharType="end"/>
            </w:r>
          </w:hyperlink>
        </w:p>
        <w:p w:rsidR="009060F2" w:rsidRPr="009060F2" w:rsidRDefault="00CC7E5E" w:rsidP="009060F2">
          <w:pPr>
            <w:pStyle w:val="TOC2"/>
            <w:tabs>
              <w:tab w:val="right" w:leader="dot" w:pos="9061"/>
            </w:tabs>
            <w:spacing w:before="0" w:line="360" w:lineRule="auto"/>
            <w:rPr>
              <w:rFonts w:ascii="Times New Roman" w:eastAsiaTheme="minorEastAsia" w:hAnsi="Times New Roman" w:cs="Times New Roman"/>
              <w:b w:val="0"/>
              <w:bCs w:val="0"/>
              <w:noProof/>
              <w:sz w:val="24"/>
              <w:szCs w:val="24"/>
              <w:lang w:eastAsia="lv-LV"/>
            </w:rPr>
          </w:pPr>
          <w:hyperlink w:anchor="_Toc505249165" w:history="1">
            <w:r w:rsidR="009060F2" w:rsidRPr="009060F2">
              <w:rPr>
                <w:rStyle w:val="Hyperlink"/>
                <w:rFonts w:ascii="Times New Roman" w:hAnsi="Times New Roman" w:cs="Times New Roman"/>
                <w:b w:val="0"/>
                <w:noProof/>
                <w:sz w:val="24"/>
                <w:szCs w:val="24"/>
              </w:rPr>
              <w:t>2. Biroja darbības rezultāti korupcijas novēršanā</w:t>
            </w:r>
            <w:r w:rsidR="009060F2" w:rsidRPr="009060F2">
              <w:rPr>
                <w:rFonts w:ascii="Times New Roman" w:hAnsi="Times New Roman" w:cs="Times New Roman"/>
                <w:b w:val="0"/>
                <w:noProof/>
                <w:webHidden/>
                <w:sz w:val="24"/>
                <w:szCs w:val="24"/>
              </w:rPr>
              <w:tab/>
            </w:r>
            <w:r w:rsidR="009060F2" w:rsidRPr="009060F2">
              <w:rPr>
                <w:rFonts w:ascii="Times New Roman" w:hAnsi="Times New Roman" w:cs="Times New Roman"/>
                <w:b w:val="0"/>
                <w:noProof/>
                <w:webHidden/>
                <w:sz w:val="24"/>
                <w:szCs w:val="24"/>
              </w:rPr>
              <w:fldChar w:fldCharType="begin"/>
            </w:r>
            <w:r w:rsidR="009060F2" w:rsidRPr="009060F2">
              <w:rPr>
                <w:rFonts w:ascii="Times New Roman" w:hAnsi="Times New Roman" w:cs="Times New Roman"/>
                <w:b w:val="0"/>
                <w:noProof/>
                <w:webHidden/>
                <w:sz w:val="24"/>
                <w:szCs w:val="24"/>
              </w:rPr>
              <w:instrText xml:space="preserve"> PAGEREF _Toc505249165 \h </w:instrText>
            </w:r>
            <w:r w:rsidR="009060F2" w:rsidRPr="009060F2">
              <w:rPr>
                <w:rFonts w:ascii="Times New Roman" w:hAnsi="Times New Roman" w:cs="Times New Roman"/>
                <w:b w:val="0"/>
                <w:noProof/>
                <w:webHidden/>
                <w:sz w:val="24"/>
                <w:szCs w:val="24"/>
              </w:rPr>
            </w:r>
            <w:r w:rsidR="009060F2" w:rsidRPr="009060F2">
              <w:rPr>
                <w:rFonts w:ascii="Times New Roman" w:hAnsi="Times New Roman" w:cs="Times New Roman"/>
                <w:b w:val="0"/>
                <w:noProof/>
                <w:webHidden/>
                <w:sz w:val="24"/>
                <w:szCs w:val="24"/>
              </w:rPr>
              <w:fldChar w:fldCharType="separate"/>
            </w:r>
            <w:r w:rsidR="00766EF5">
              <w:rPr>
                <w:rFonts w:ascii="Times New Roman" w:hAnsi="Times New Roman" w:cs="Times New Roman"/>
                <w:b w:val="0"/>
                <w:noProof/>
                <w:webHidden/>
                <w:sz w:val="24"/>
                <w:szCs w:val="24"/>
              </w:rPr>
              <w:t>8</w:t>
            </w:r>
            <w:r w:rsidR="009060F2" w:rsidRPr="009060F2">
              <w:rPr>
                <w:rFonts w:ascii="Times New Roman" w:hAnsi="Times New Roman" w:cs="Times New Roman"/>
                <w:b w:val="0"/>
                <w:noProof/>
                <w:webHidden/>
                <w:sz w:val="24"/>
                <w:szCs w:val="24"/>
              </w:rPr>
              <w:fldChar w:fldCharType="end"/>
            </w:r>
          </w:hyperlink>
        </w:p>
        <w:p w:rsidR="009060F2" w:rsidRPr="009060F2" w:rsidRDefault="00CC7E5E" w:rsidP="009060F2">
          <w:pPr>
            <w:pStyle w:val="TOC3"/>
            <w:tabs>
              <w:tab w:val="right" w:leader="dot" w:pos="9061"/>
            </w:tabs>
            <w:spacing w:line="360" w:lineRule="auto"/>
            <w:ind w:left="567"/>
            <w:rPr>
              <w:rFonts w:ascii="Times New Roman" w:eastAsiaTheme="minorEastAsia" w:hAnsi="Times New Roman" w:cs="Times New Roman"/>
              <w:noProof/>
              <w:sz w:val="24"/>
              <w:szCs w:val="24"/>
              <w:lang w:eastAsia="lv-LV"/>
            </w:rPr>
          </w:pPr>
          <w:hyperlink w:anchor="_Toc505249166" w:history="1">
            <w:r w:rsidR="009060F2" w:rsidRPr="009060F2">
              <w:rPr>
                <w:rStyle w:val="Hyperlink"/>
                <w:rFonts w:ascii="Times New Roman" w:hAnsi="Times New Roman" w:cs="Times New Roman"/>
                <w:noProof/>
                <w:sz w:val="24"/>
                <w:szCs w:val="24"/>
              </w:rPr>
              <w:t>2.1. Pretkorupcijas politikas izstrāde un ieviešana, izstrādātie attīstības plānošanas dokumenti un to izpilde, izstrādātie tiesību aktu projekti un to virzība</w:t>
            </w:r>
            <w:r w:rsidR="009060F2" w:rsidRPr="009060F2">
              <w:rPr>
                <w:rFonts w:ascii="Times New Roman" w:hAnsi="Times New Roman" w:cs="Times New Roman"/>
                <w:noProof/>
                <w:webHidden/>
                <w:sz w:val="24"/>
                <w:szCs w:val="24"/>
              </w:rPr>
              <w:tab/>
            </w:r>
            <w:r w:rsidR="009060F2" w:rsidRPr="009060F2">
              <w:rPr>
                <w:rFonts w:ascii="Times New Roman" w:hAnsi="Times New Roman" w:cs="Times New Roman"/>
                <w:noProof/>
                <w:webHidden/>
                <w:sz w:val="24"/>
                <w:szCs w:val="24"/>
              </w:rPr>
              <w:fldChar w:fldCharType="begin"/>
            </w:r>
            <w:r w:rsidR="009060F2" w:rsidRPr="009060F2">
              <w:rPr>
                <w:rFonts w:ascii="Times New Roman" w:hAnsi="Times New Roman" w:cs="Times New Roman"/>
                <w:noProof/>
                <w:webHidden/>
                <w:sz w:val="24"/>
                <w:szCs w:val="24"/>
              </w:rPr>
              <w:instrText xml:space="preserve"> PAGEREF _Toc505249166 \h </w:instrText>
            </w:r>
            <w:r w:rsidR="009060F2" w:rsidRPr="009060F2">
              <w:rPr>
                <w:rFonts w:ascii="Times New Roman" w:hAnsi="Times New Roman" w:cs="Times New Roman"/>
                <w:noProof/>
                <w:webHidden/>
                <w:sz w:val="24"/>
                <w:szCs w:val="24"/>
              </w:rPr>
            </w:r>
            <w:r w:rsidR="009060F2" w:rsidRPr="009060F2">
              <w:rPr>
                <w:rFonts w:ascii="Times New Roman" w:hAnsi="Times New Roman" w:cs="Times New Roman"/>
                <w:noProof/>
                <w:webHidden/>
                <w:sz w:val="24"/>
                <w:szCs w:val="24"/>
              </w:rPr>
              <w:fldChar w:fldCharType="separate"/>
            </w:r>
            <w:r w:rsidR="00766EF5">
              <w:rPr>
                <w:rFonts w:ascii="Times New Roman" w:hAnsi="Times New Roman" w:cs="Times New Roman"/>
                <w:noProof/>
                <w:webHidden/>
                <w:sz w:val="24"/>
                <w:szCs w:val="24"/>
              </w:rPr>
              <w:t>8</w:t>
            </w:r>
            <w:r w:rsidR="009060F2" w:rsidRPr="009060F2">
              <w:rPr>
                <w:rFonts w:ascii="Times New Roman" w:hAnsi="Times New Roman" w:cs="Times New Roman"/>
                <w:noProof/>
                <w:webHidden/>
                <w:sz w:val="24"/>
                <w:szCs w:val="24"/>
              </w:rPr>
              <w:fldChar w:fldCharType="end"/>
            </w:r>
          </w:hyperlink>
        </w:p>
        <w:p w:rsidR="009060F2" w:rsidRPr="009060F2" w:rsidRDefault="00CC7E5E" w:rsidP="009060F2">
          <w:pPr>
            <w:pStyle w:val="TOC3"/>
            <w:tabs>
              <w:tab w:val="right" w:leader="dot" w:pos="9061"/>
            </w:tabs>
            <w:spacing w:line="360" w:lineRule="auto"/>
            <w:ind w:left="567"/>
            <w:rPr>
              <w:rFonts w:ascii="Times New Roman" w:eastAsiaTheme="minorEastAsia" w:hAnsi="Times New Roman" w:cs="Times New Roman"/>
              <w:noProof/>
              <w:sz w:val="24"/>
              <w:szCs w:val="24"/>
              <w:lang w:eastAsia="lv-LV"/>
            </w:rPr>
          </w:pPr>
          <w:hyperlink w:anchor="_Toc505249167" w:history="1">
            <w:r w:rsidR="009060F2" w:rsidRPr="009060F2">
              <w:rPr>
                <w:rStyle w:val="Hyperlink"/>
                <w:rFonts w:ascii="Times New Roman" w:hAnsi="Times New Roman" w:cs="Times New Roman"/>
                <w:noProof/>
                <w:sz w:val="24"/>
                <w:szCs w:val="24"/>
              </w:rPr>
              <w:t>2.2. Starptautisko rekomendāciju izpilde un starptautiskā sadarbība</w:t>
            </w:r>
            <w:r w:rsidR="009060F2" w:rsidRPr="009060F2">
              <w:rPr>
                <w:rFonts w:ascii="Times New Roman" w:hAnsi="Times New Roman" w:cs="Times New Roman"/>
                <w:noProof/>
                <w:webHidden/>
                <w:sz w:val="24"/>
                <w:szCs w:val="24"/>
              </w:rPr>
              <w:tab/>
            </w:r>
            <w:r w:rsidR="009060F2" w:rsidRPr="009060F2">
              <w:rPr>
                <w:rFonts w:ascii="Times New Roman" w:hAnsi="Times New Roman" w:cs="Times New Roman"/>
                <w:noProof/>
                <w:webHidden/>
                <w:sz w:val="24"/>
                <w:szCs w:val="24"/>
              </w:rPr>
              <w:fldChar w:fldCharType="begin"/>
            </w:r>
            <w:r w:rsidR="009060F2" w:rsidRPr="009060F2">
              <w:rPr>
                <w:rFonts w:ascii="Times New Roman" w:hAnsi="Times New Roman" w:cs="Times New Roman"/>
                <w:noProof/>
                <w:webHidden/>
                <w:sz w:val="24"/>
                <w:szCs w:val="24"/>
              </w:rPr>
              <w:instrText xml:space="preserve"> PAGEREF _Toc505249167 \h </w:instrText>
            </w:r>
            <w:r w:rsidR="009060F2" w:rsidRPr="009060F2">
              <w:rPr>
                <w:rFonts w:ascii="Times New Roman" w:hAnsi="Times New Roman" w:cs="Times New Roman"/>
                <w:noProof/>
                <w:webHidden/>
                <w:sz w:val="24"/>
                <w:szCs w:val="24"/>
              </w:rPr>
            </w:r>
            <w:r w:rsidR="009060F2" w:rsidRPr="009060F2">
              <w:rPr>
                <w:rFonts w:ascii="Times New Roman" w:hAnsi="Times New Roman" w:cs="Times New Roman"/>
                <w:noProof/>
                <w:webHidden/>
                <w:sz w:val="24"/>
                <w:szCs w:val="24"/>
              </w:rPr>
              <w:fldChar w:fldCharType="separate"/>
            </w:r>
            <w:r w:rsidR="00766EF5">
              <w:rPr>
                <w:rFonts w:ascii="Times New Roman" w:hAnsi="Times New Roman" w:cs="Times New Roman"/>
                <w:noProof/>
                <w:webHidden/>
                <w:sz w:val="24"/>
                <w:szCs w:val="24"/>
              </w:rPr>
              <w:t>12</w:t>
            </w:r>
            <w:r w:rsidR="009060F2" w:rsidRPr="009060F2">
              <w:rPr>
                <w:rFonts w:ascii="Times New Roman" w:hAnsi="Times New Roman" w:cs="Times New Roman"/>
                <w:noProof/>
                <w:webHidden/>
                <w:sz w:val="24"/>
                <w:szCs w:val="24"/>
              </w:rPr>
              <w:fldChar w:fldCharType="end"/>
            </w:r>
          </w:hyperlink>
        </w:p>
        <w:p w:rsidR="009060F2" w:rsidRPr="009060F2" w:rsidRDefault="00CC7E5E" w:rsidP="009060F2">
          <w:pPr>
            <w:pStyle w:val="TOC3"/>
            <w:tabs>
              <w:tab w:val="right" w:leader="dot" w:pos="9061"/>
            </w:tabs>
            <w:spacing w:line="360" w:lineRule="auto"/>
            <w:ind w:left="567"/>
            <w:rPr>
              <w:rFonts w:ascii="Times New Roman" w:eastAsiaTheme="minorEastAsia" w:hAnsi="Times New Roman" w:cs="Times New Roman"/>
              <w:noProof/>
              <w:sz w:val="24"/>
              <w:szCs w:val="24"/>
              <w:lang w:eastAsia="lv-LV"/>
            </w:rPr>
          </w:pPr>
          <w:hyperlink w:anchor="_Toc505249168" w:history="1">
            <w:r w:rsidR="009060F2" w:rsidRPr="009060F2">
              <w:rPr>
                <w:rStyle w:val="Hyperlink"/>
                <w:rFonts w:ascii="Times New Roman" w:hAnsi="Times New Roman" w:cs="Times New Roman"/>
                <w:noProof/>
                <w:sz w:val="24"/>
                <w:szCs w:val="24"/>
              </w:rPr>
              <w:t>2.3. Valsts amatpersonu un sabiedrības izglītošana</w:t>
            </w:r>
            <w:r w:rsidR="009060F2" w:rsidRPr="009060F2">
              <w:rPr>
                <w:rFonts w:ascii="Times New Roman" w:hAnsi="Times New Roman" w:cs="Times New Roman"/>
                <w:noProof/>
                <w:webHidden/>
                <w:sz w:val="24"/>
                <w:szCs w:val="24"/>
              </w:rPr>
              <w:tab/>
            </w:r>
            <w:r w:rsidR="009060F2" w:rsidRPr="009060F2">
              <w:rPr>
                <w:rFonts w:ascii="Times New Roman" w:hAnsi="Times New Roman" w:cs="Times New Roman"/>
                <w:noProof/>
                <w:webHidden/>
                <w:sz w:val="24"/>
                <w:szCs w:val="24"/>
              </w:rPr>
              <w:fldChar w:fldCharType="begin"/>
            </w:r>
            <w:r w:rsidR="009060F2" w:rsidRPr="009060F2">
              <w:rPr>
                <w:rFonts w:ascii="Times New Roman" w:hAnsi="Times New Roman" w:cs="Times New Roman"/>
                <w:noProof/>
                <w:webHidden/>
                <w:sz w:val="24"/>
                <w:szCs w:val="24"/>
              </w:rPr>
              <w:instrText xml:space="preserve"> PAGEREF _Toc505249168 \h </w:instrText>
            </w:r>
            <w:r w:rsidR="009060F2" w:rsidRPr="009060F2">
              <w:rPr>
                <w:rFonts w:ascii="Times New Roman" w:hAnsi="Times New Roman" w:cs="Times New Roman"/>
                <w:noProof/>
                <w:webHidden/>
                <w:sz w:val="24"/>
                <w:szCs w:val="24"/>
              </w:rPr>
            </w:r>
            <w:r w:rsidR="009060F2" w:rsidRPr="009060F2">
              <w:rPr>
                <w:rFonts w:ascii="Times New Roman" w:hAnsi="Times New Roman" w:cs="Times New Roman"/>
                <w:noProof/>
                <w:webHidden/>
                <w:sz w:val="24"/>
                <w:szCs w:val="24"/>
              </w:rPr>
              <w:fldChar w:fldCharType="separate"/>
            </w:r>
            <w:r w:rsidR="00766EF5">
              <w:rPr>
                <w:rFonts w:ascii="Times New Roman" w:hAnsi="Times New Roman" w:cs="Times New Roman"/>
                <w:noProof/>
                <w:webHidden/>
                <w:sz w:val="24"/>
                <w:szCs w:val="24"/>
              </w:rPr>
              <w:t>14</w:t>
            </w:r>
            <w:r w:rsidR="009060F2" w:rsidRPr="009060F2">
              <w:rPr>
                <w:rFonts w:ascii="Times New Roman" w:hAnsi="Times New Roman" w:cs="Times New Roman"/>
                <w:noProof/>
                <w:webHidden/>
                <w:sz w:val="24"/>
                <w:szCs w:val="24"/>
              </w:rPr>
              <w:fldChar w:fldCharType="end"/>
            </w:r>
          </w:hyperlink>
        </w:p>
        <w:p w:rsidR="009060F2" w:rsidRPr="009060F2" w:rsidRDefault="00CC7E5E" w:rsidP="009060F2">
          <w:pPr>
            <w:pStyle w:val="TOC3"/>
            <w:tabs>
              <w:tab w:val="right" w:leader="dot" w:pos="9061"/>
            </w:tabs>
            <w:spacing w:line="360" w:lineRule="auto"/>
            <w:ind w:left="567"/>
            <w:rPr>
              <w:rFonts w:ascii="Times New Roman" w:eastAsiaTheme="minorEastAsia" w:hAnsi="Times New Roman" w:cs="Times New Roman"/>
              <w:noProof/>
              <w:sz w:val="24"/>
              <w:szCs w:val="24"/>
              <w:lang w:eastAsia="lv-LV"/>
            </w:rPr>
          </w:pPr>
          <w:hyperlink w:anchor="_Toc505249169" w:history="1">
            <w:r w:rsidR="009060F2" w:rsidRPr="009060F2">
              <w:rPr>
                <w:rStyle w:val="Hyperlink"/>
                <w:rFonts w:ascii="Times New Roman" w:hAnsi="Times New Roman" w:cs="Times New Roman"/>
                <w:noProof/>
                <w:sz w:val="24"/>
                <w:szCs w:val="24"/>
              </w:rPr>
              <w:t>2.4. Valsts amatpersonu darbības kontrole</w:t>
            </w:r>
            <w:r w:rsidR="009060F2" w:rsidRPr="009060F2">
              <w:rPr>
                <w:rFonts w:ascii="Times New Roman" w:hAnsi="Times New Roman" w:cs="Times New Roman"/>
                <w:noProof/>
                <w:webHidden/>
                <w:sz w:val="24"/>
                <w:szCs w:val="24"/>
              </w:rPr>
              <w:tab/>
            </w:r>
            <w:r w:rsidR="009060F2" w:rsidRPr="009060F2">
              <w:rPr>
                <w:rFonts w:ascii="Times New Roman" w:hAnsi="Times New Roman" w:cs="Times New Roman"/>
                <w:noProof/>
                <w:webHidden/>
                <w:sz w:val="24"/>
                <w:szCs w:val="24"/>
              </w:rPr>
              <w:fldChar w:fldCharType="begin"/>
            </w:r>
            <w:r w:rsidR="009060F2" w:rsidRPr="009060F2">
              <w:rPr>
                <w:rFonts w:ascii="Times New Roman" w:hAnsi="Times New Roman" w:cs="Times New Roman"/>
                <w:noProof/>
                <w:webHidden/>
                <w:sz w:val="24"/>
                <w:szCs w:val="24"/>
              </w:rPr>
              <w:instrText xml:space="preserve"> PAGEREF _Toc505249169 \h </w:instrText>
            </w:r>
            <w:r w:rsidR="009060F2" w:rsidRPr="009060F2">
              <w:rPr>
                <w:rFonts w:ascii="Times New Roman" w:hAnsi="Times New Roman" w:cs="Times New Roman"/>
                <w:noProof/>
                <w:webHidden/>
                <w:sz w:val="24"/>
                <w:szCs w:val="24"/>
              </w:rPr>
            </w:r>
            <w:r w:rsidR="009060F2" w:rsidRPr="009060F2">
              <w:rPr>
                <w:rFonts w:ascii="Times New Roman" w:hAnsi="Times New Roman" w:cs="Times New Roman"/>
                <w:noProof/>
                <w:webHidden/>
                <w:sz w:val="24"/>
                <w:szCs w:val="24"/>
              </w:rPr>
              <w:fldChar w:fldCharType="separate"/>
            </w:r>
            <w:r w:rsidR="00766EF5">
              <w:rPr>
                <w:rFonts w:ascii="Times New Roman" w:hAnsi="Times New Roman" w:cs="Times New Roman"/>
                <w:noProof/>
                <w:webHidden/>
                <w:sz w:val="24"/>
                <w:szCs w:val="24"/>
              </w:rPr>
              <w:t>16</w:t>
            </w:r>
            <w:r w:rsidR="009060F2" w:rsidRPr="009060F2">
              <w:rPr>
                <w:rFonts w:ascii="Times New Roman" w:hAnsi="Times New Roman" w:cs="Times New Roman"/>
                <w:noProof/>
                <w:webHidden/>
                <w:sz w:val="24"/>
                <w:szCs w:val="24"/>
              </w:rPr>
              <w:fldChar w:fldCharType="end"/>
            </w:r>
          </w:hyperlink>
        </w:p>
        <w:p w:rsidR="009060F2" w:rsidRPr="009060F2" w:rsidRDefault="00CC7E5E" w:rsidP="009060F2">
          <w:pPr>
            <w:pStyle w:val="TOC2"/>
            <w:tabs>
              <w:tab w:val="right" w:leader="dot" w:pos="9061"/>
            </w:tabs>
            <w:spacing w:before="0" w:line="360" w:lineRule="auto"/>
            <w:rPr>
              <w:rFonts w:ascii="Times New Roman" w:eastAsiaTheme="minorEastAsia" w:hAnsi="Times New Roman" w:cs="Times New Roman"/>
              <w:b w:val="0"/>
              <w:bCs w:val="0"/>
              <w:noProof/>
              <w:sz w:val="24"/>
              <w:szCs w:val="24"/>
              <w:lang w:eastAsia="lv-LV"/>
            </w:rPr>
          </w:pPr>
          <w:hyperlink w:anchor="_Toc505249170" w:history="1">
            <w:r w:rsidR="009060F2" w:rsidRPr="009060F2">
              <w:rPr>
                <w:rStyle w:val="Hyperlink"/>
                <w:rFonts w:ascii="Times New Roman" w:hAnsi="Times New Roman" w:cs="Times New Roman"/>
                <w:b w:val="0"/>
                <w:noProof/>
                <w:sz w:val="24"/>
                <w:szCs w:val="24"/>
              </w:rPr>
              <w:t>3. Biroja darbības rezultāti korupcijas apkarošanā</w:t>
            </w:r>
            <w:r w:rsidR="009060F2" w:rsidRPr="009060F2">
              <w:rPr>
                <w:rFonts w:ascii="Times New Roman" w:hAnsi="Times New Roman" w:cs="Times New Roman"/>
                <w:b w:val="0"/>
                <w:noProof/>
                <w:webHidden/>
                <w:sz w:val="24"/>
                <w:szCs w:val="24"/>
              </w:rPr>
              <w:tab/>
            </w:r>
            <w:r w:rsidR="009060F2" w:rsidRPr="009060F2">
              <w:rPr>
                <w:rFonts w:ascii="Times New Roman" w:hAnsi="Times New Roman" w:cs="Times New Roman"/>
                <w:b w:val="0"/>
                <w:noProof/>
                <w:webHidden/>
                <w:sz w:val="24"/>
                <w:szCs w:val="24"/>
              </w:rPr>
              <w:fldChar w:fldCharType="begin"/>
            </w:r>
            <w:r w:rsidR="009060F2" w:rsidRPr="009060F2">
              <w:rPr>
                <w:rFonts w:ascii="Times New Roman" w:hAnsi="Times New Roman" w:cs="Times New Roman"/>
                <w:b w:val="0"/>
                <w:noProof/>
                <w:webHidden/>
                <w:sz w:val="24"/>
                <w:szCs w:val="24"/>
              </w:rPr>
              <w:instrText xml:space="preserve"> PAGEREF _Toc505249170 \h </w:instrText>
            </w:r>
            <w:r w:rsidR="009060F2" w:rsidRPr="009060F2">
              <w:rPr>
                <w:rFonts w:ascii="Times New Roman" w:hAnsi="Times New Roman" w:cs="Times New Roman"/>
                <w:b w:val="0"/>
                <w:noProof/>
                <w:webHidden/>
                <w:sz w:val="24"/>
                <w:szCs w:val="24"/>
              </w:rPr>
            </w:r>
            <w:r w:rsidR="009060F2" w:rsidRPr="009060F2">
              <w:rPr>
                <w:rFonts w:ascii="Times New Roman" w:hAnsi="Times New Roman" w:cs="Times New Roman"/>
                <w:b w:val="0"/>
                <w:noProof/>
                <w:webHidden/>
                <w:sz w:val="24"/>
                <w:szCs w:val="24"/>
              </w:rPr>
              <w:fldChar w:fldCharType="separate"/>
            </w:r>
            <w:r w:rsidR="00766EF5">
              <w:rPr>
                <w:rFonts w:ascii="Times New Roman" w:hAnsi="Times New Roman" w:cs="Times New Roman"/>
                <w:b w:val="0"/>
                <w:noProof/>
                <w:webHidden/>
                <w:sz w:val="24"/>
                <w:szCs w:val="24"/>
              </w:rPr>
              <w:t>18</w:t>
            </w:r>
            <w:r w:rsidR="009060F2" w:rsidRPr="009060F2">
              <w:rPr>
                <w:rFonts w:ascii="Times New Roman" w:hAnsi="Times New Roman" w:cs="Times New Roman"/>
                <w:b w:val="0"/>
                <w:noProof/>
                <w:webHidden/>
                <w:sz w:val="24"/>
                <w:szCs w:val="24"/>
              </w:rPr>
              <w:fldChar w:fldCharType="end"/>
            </w:r>
          </w:hyperlink>
        </w:p>
        <w:p w:rsidR="009060F2" w:rsidRPr="009060F2" w:rsidRDefault="00CC7E5E" w:rsidP="009060F2">
          <w:pPr>
            <w:pStyle w:val="TOC2"/>
            <w:tabs>
              <w:tab w:val="right" w:leader="dot" w:pos="9061"/>
            </w:tabs>
            <w:spacing w:before="0" w:line="360" w:lineRule="auto"/>
            <w:rPr>
              <w:rFonts w:ascii="Times New Roman" w:eastAsiaTheme="minorEastAsia" w:hAnsi="Times New Roman" w:cs="Times New Roman"/>
              <w:b w:val="0"/>
              <w:bCs w:val="0"/>
              <w:noProof/>
              <w:sz w:val="24"/>
              <w:szCs w:val="24"/>
              <w:lang w:eastAsia="lv-LV"/>
            </w:rPr>
          </w:pPr>
          <w:hyperlink w:anchor="_Toc505249171" w:history="1">
            <w:r w:rsidR="009060F2" w:rsidRPr="009060F2">
              <w:rPr>
                <w:rStyle w:val="Hyperlink"/>
                <w:rFonts w:ascii="Times New Roman" w:hAnsi="Times New Roman" w:cs="Times New Roman"/>
                <w:b w:val="0"/>
                <w:noProof/>
                <w:sz w:val="24"/>
                <w:szCs w:val="24"/>
              </w:rPr>
              <w:t>4. Politisko organizāciju (partiju) finansēšanas noteikumu izpildes un priekšvēlēšanu aģitācijas kontrole</w:t>
            </w:r>
            <w:r w:rsidR="009060F2" w:rsidRPr="009060F2">
              <w:rPr>
                <w:rFonts w:ascii="Times New Roman" w:hAnsi="Times New Roman" w:cs="Times New Roman"/>
                <w:b w:val="0"/>
                <w:noProof/>
                <w:webHidden/>
                <w:sz w:val="24"/>
                <w:szCs w:val="24"/>
              </w:rPr>
              <w:tab/>
            </w:r>
            <w:r w:rsidR="009060F2" w:rsidRPr="009060F2">
              <w:rPr>
                <w:rFonts w:ascii="Times New Roman" w:hAnsi="Times New Roman" w:cs="Times New Roman"/>
                <w:b w:val="0"/>
                <w:noProof/>
                <w:webHidden/>
                <w:sz w:val="24"/>
                <w:szCs w:val="24"/>
              </w:rPr>
              <w:fldChar w:fldCharType="begin"/>
            </w:r>
            <w:r w:rsidR="009060F2" w:rsidRPr="009060F2">
              <w:rPr>
                <w:rFonts w:ascii="Times New Roman" w:hAnsi="Times New Roman" w:cs="Times New Roman"/>
                <w:b w:val="0"/>
                <w:noProof/>
                <w:webHidden/>
                <w:sz w:val="24"/>
                <w:szCs w:val="24"/>
              </w:rPr>
              <w:instrText xml:space="preserve"> PAGEREF _Toc505249171 \h </w:instrText>
            </w:r>
            <w:r w:rsidR="009060F2" w:rsidRPr="009060F2">
              <w:rPr>
                <w:rFonts w:ascii="Times New Roman" w:hAnsi="Times New Roman" w:cs="Times New Roman"/>
                <w:b w:val="0"/>
                <w:noProof/>
                <w:webHidden/>
                <w:sz w:val="24"/>
                <w:szCs w:val="24"/>
              </w:rPr>
            </w:r>
            <w:r w:rsidR="009060F2" w:rsidRPr="009060F2">
              <w:rPr>
                <w:rFonts w:ascii="Times New Roman" w:hAnsi="Times New Roman" w:cs="Times New Roman"/>
                <w:b w:val="0"/>
                <w:noProof/>
                <w:webHidden/>
                <w:sz w:val="24"/>
                <w:szCs w:val="24"/>
              </w:rPr>
              <w:fldChar w:fldCharType="separate"/>
            </w:r>
            <w:r w:rsidR="00766EF5">
              <w:rPr>
                <w:rFonts w:ascii="Times New Roman" w:hAnsi="Times New Roman" w:cs="Times New Roman"/>
                <w:b w:val="0"/>
                <w:noProof/>
                <w:webHidden/>
                <w:sz w:val="24"/>
                <w:szCs w:val="24"/>
              </w:rPr>
              <w:t>20</w:t>
            </w:r>
            <w:r w:rsidR="009060F2" w:rsidRPr="009060F2">
              <w:rPr>
                <w:rFonts w:ascii="Times New Roman" w:hAnsi="Times New Roman" w:cs="Times New Roman"/>
                <w:b w:val="0"/>
                <w:noProof/>
                <w:webHidden/>
                <w:sz w:val="24"/>
                <w:szCs w:val="24"/>
              </w:rPr>
              <w:fldChar w:fldCharType="end"/>
            </w:r>
          </w:hyperlink>
        </w:p>
        <w:p w:rsidR="009060F2" w:rsidRPr="009060F2" w:rsidRDefault="00CC7E5E" w:rsidP="009060F2">
          <w:pPr>
            <w:pStyle w:val="TOC2"/>
            <w:tabs>
              <w:tab w:val="right" w:leader="dot" w:pos="9061"/>
            </w:tabs>
            <w:spacing w:before="0" w:line="360" w:lineRule="auto"/>
            <w:rPr>
              <w:rFonts w:ascii="Times New Roman" w:eastAsiaTheme="minorEastAsia" w:hAnsi="Times New Roman" w:cs="Times New Roman"/>
              <w:b w:val="0"/>
              <w:bCs w:val="0"/>
              <w:noProof/>
              <w:sz w:val="24"/>
              <w:szCs w:val="24"/>
              <w:lang w:eastAsia="lv-LV"/>
            </w:rPr>
          </w:pPr>
          <w:hyperlink w:anchor="_Toc505249172" w:history="1">
            <w:r w:rsidR="009060F2" w:rsidRPr="009060F2">
              <w:rPr>
                <w:rStyle w:val="Hyperlink"/>
                <w:rFonts w:ascii="Times New Roman" w:hAnsi="Times New Roman" w:cs="Times New Roman"/>
                <w:b w:val="0"/>
                <w:noProof/>
                <w:sz w:val="24"/>
                <w:szCs w:val="24"/>
                <w:lang w:eastAsia="lv-LV"/>
              </w:rPr>
              <w:t>5. Biroja personālpolitika un iekšējā kontrole</w:t>
            </w:r>
            <w:r w:rsidR="009060F2" w:rsidRPr="009060F2">
              <w:rPr>
                <w:rFonts w:ascii="Times New Roman" w:hAnsi="Times New Roman" w:cs="Times New Roman"/>
                <w:b w:val="0"/>
                <w:noProof/>
                <w:webHidden/>
                <w:sz w:val="24"/>
                <w:szCs w:val="24"/>
              </w:rPr>
              <w:tab/>
            </w:r>
            <w:r w:rsidR="009060F2" w:rsidRPr="009060F2">
              <w:rPr>
                <w:rFonts w:ascii="Times New Roman" w:hAnsi="Times New Roman" w:cs="Times New Roman"/>
                <w:b w:val="0"/>
                <w:noProof/>
                <w:webHidden/>
                <w:sz w:val="24"/>
                <w:szCs w:val="24"/>
              </w:rPr>
              <w:fldChar w:fldCharType="begin"/>
            </w:r>
            <w:r w:rsidR="009060F2" w:rsidRPr="009060F2">
              <w:rPr>
                <w:rFonts w:ascii="Times New Roman" w:hAnsi="Times New Roman" w:cs="Times New Roman"/>
                <w:b w:val="0"/>
                <w:noProof/>
                <w:webHidden/>
                <w:sz w:val="24"/>
                <w:szCs w:val="24"/>
              </w:rPr>
              <w:instrText xml:space="preserve"> PAGEREF _Toc505249172 \h </w:instrText>
            </w:r>
            <w:r w:rsidR="009060F2" w:rsidRPr="009060F2">
              <w:rPr>
                <w:rFonts w:ascii="Times New Roman" w:hAnsi="Times New Roman" w:cs="Times New Roman"/>
                <w:b w:val="0"/>
                <w:noProof/>
                <w:webHidden/>
                <w:sz w:val="24"/>
                <w:szCs w:val="24"/>
              </w:rPr>
            </w:r>
            <w:r w:rsidR="009060F2" w:rsidRPr="009060F2">
              <w:rPr>
                <w:rFonts w:ascii="Times New Roman" w:hAnsi="Times New Roman" w:cs="Times New Roman"/>
                <w:b w:val="0"/>
                <w:noProof/>
                <w:webHidden/>
                <w:sz w:val="24"/>
                <w:szCs w:val="24"/>
              </w:rPr>
              <w:fldChar w:fldCharType="separate"/>
            </w:r>
            <w:r w:rsidR="00766EF5">
              <w:rPr>
                <w:rFonts w:ascii="Times New Roman" w:hAnsi="Times New Roman" w:cs="Times New Roman"/>
                <w:b w:val="0"/>
                <w:noProof/>
                <w:webHidden/>
                <w:sz w:val="24"/>
                <w:szCs w:val="24"/>
              </w:rPr>
              <w:t>23</w:t>
            </w:r>
            <w:r w:rsidR="009060F2" w:rsidRPr="009060F2">
              <w:rPr>
                <w:rFonts w:ascii="Times New Roman" w:hAnsi="Times New Roman" w:cs="Times New Roman"/>
                <w:b w:val="0"/>
                <w:noProof/>
                <w:webHidden/>
                <w:sz w:val="24"/>
                <w:szCs w:val="24"/>
              </w:rPr>
              <w:fldChar w:fldCharType="end"/>
            </w:r>
          </w:hyperlink>
        </w:p>
        <w:p w:rsidR="009060F2" w:rsidRPr="009060F2" w:rsidRDefault="00CC7E5E" w:rsidP="009060F2">
          <w:pPr>
            <w:pStyle w:val="TOC2"/>
            <w:tabs>
              <w:tab w:val="right" w:leader="dot" w:pos="9061"/>
            </w:tabs>
            <w:spacing w:before="0" w:line="360" w:lineRule="auto"/>
            <w:rPr>
              <w:rFonts w:ascii="Times New Roman" w:eastAsiaTheme="minorEastAsia" w:hAnsi="Times New Roman" w:cs="Times New Roman"/>
              <w:b w:val="0"/>
              <w:bCs w:val="0"/>
              <w:noProof/>
              <w:sz w:val="24"/>
              <w:szCs w:val="24"/>
              <w:lang w:eastAsia="lv-LV"/>
            </w:rPr>
          </w:pPr>
          <w:hyperlink w:anchor="_Toc505249173" w:history="1">
            <w:r w:rsidR="009060F2" w:rsidRPr="009060F2">
              <w:rPr>
                <w:rStyle w:val="Hyperlink"/>
                <w:rFonts w:ascii="Times New Roman" w:hAnsi="Times New Roman" w:cs="Times New Roman"/>
                <w:b w:val="0"/>
                <w:noProof/>
                <w:sz w:val="24"/>
                <w:szCs w:val="24"/>
              </w:rPr>
              <w:t>6. Biroja stratēģijas izpilde</w:t>
            </w:r>
            <w:r w:rsidR="009060F2" w:rsidRPr="009060F2">
              <w:rPr>
                <w:rFonts w:ascii="Times New Roman" w:hAnsi="Times New Roman" w:cs="Times New Roman"/>
                <w:b w:val="0"/>
                <w:noProof/>
                <w:webHidden/>
                <w:sz w:val="24"/>
                <w:szCs w:val="24"/>
              </w:rPr>
              <w:tab/>
            </w:r>
            <w:r w:rsidR="009060F2" w:rsidRPr="009060F2">
              <w:rPr>
                <w:rFonts w:ascii="Times New Roman" w:hAnsi="Times New Roman" w:cs="Times New Roman"/>
                <w:b w:val="0"/>
                <w:noProof/>
                <w:webHidden/>
                <w:sz w:val="24"/>
                <w:szCs w:val="24"/>
              </w:rPr>
              <w:fldChar w:fldCharType="begin"/>
            </w:r>
            <w:r w:rsidR="009060F2" w:rsidRPr="009060F2">
              <w:rPr>
                <w:rFonts w:ascii="Times New Roman" w:hAnsi="Times New Roman" w:cs="Times New Roman"/>
                <w:b w:val="0"/>
                <w:noProof/>
                <w:webHidden/>
                <w:sz w:val="24"/>
                <w:szCs w:val="24"/>
              </w:rPr>
              <w:instrText xml:space="preserve"> PAGEREF _Toc505249173 \h </w:instrText>
            </w:r>
            <w:r w:rsidR="009060F2" w:rsidRPr="009060F2">
              <w:rPr>
                <w:rFonts w:ascii="Times New Roman" w:hAnsi="Times New Roman" w:cs="Times New Roman"/>
                <w:b w:val="0"/>
                <w:noProof/>
                <w:webHidden/>
                <w:sz w:val="24"/>
                <w:szCs w:val="24"/>
              </w:rPr>
            </w:r>
            <w:r w:rsidR="009060F2" w:rsidRPr="009060F2">
              <w:rPr>
                <w:rFonts w:ascii="Times New Roman" w:hAnsi="Times New Roman" w:cs="Times New Roman"/>
                <w:b w:val="0"/>
                <w:noProof/>
                <w:webHidden/>
                <w:sz w:val="24"/>
                <w:szCs w:val="24"/>
              </w:rPr>
              <w:fldChar w:fldCharType="separate"/>
            </w:r>
            <w:r w:rsidR="00766EF5">
              <w:rPr>
                <w:rFonts w:ascii="Times New Roman" w:hAnsi="Times New Roman" w:cs="Times New Roman"/>
                <w:b w:val="0"/>
                <w:noProof/>
                <w:webHidden/>
                <w:sz w:val="24"/>
                <w:szCs w:val="24"/>
              </w:rPr>
              <w:t>26</w:t>
            </w:r>
            <w:r w:rsidR="009060F2" w:rsidRPr="009060F2">
              <w:rPr>
                <w:rFonts w:ascii="Times New Roman" w:hAnsi="Times New Roman" w:cs="Times New Roman"/>
                <w:b w:val="0"/>
                <w:noProof/>
                <w:webHidden/>
                <w:sz w:val="24"/>
                <w:szCs w:val="24"/>
              </w:rPr>
              <w:fldChar w:fldCharType="end"/>
            </w:r>
          </w:hyperlink>
        </w:p>
        <w:p w:rsidR="009060F2" w:rsidRPr="009060F2" w:rsidRDefault="00CC7E5E" w:rsidP="009060F2">
          <w:pPr>
            <w:pStyle w:val="TOC2"/>
            <w:tabs>
              <w:tab w:val="right" w:leader="dot" w:pos="9061"/>
            </w:tabs>
            <w:spacing w:before="0" w:line="360" w:lineRule="auto"/>
            <w:rPr>
              <w:rFonts w:ascii="Times New Roman" w:eastAsiaTheme="minorEastAsia" w:hAnsi="Times New Roman" w:cs="Times New Roman"/>
              <w:b w:val="0"/>
              <w:bCs w:val="0"/>
              <w:noProof/>
              <w:sz w:val="24"/>
              <w:szCs w:val="24"/>
              <w:lang w:eastAsia="lv-LV"/>
            </w:rPr>
          </w:pPr>
          <w:hyperlink w:anchor="_Toc505249174" w:history="1">
            <w:r w:rsidR="009060F2" w:rsidRPr="009060F2">
              <w:rPr>
                <w:rStyle w:val="Hyperlink"/>
                <w:rFonts w:ascii="Times New Roman" w:hAnsi="Times New Roman" w:cs="Times New Roman"/>
                <w:b w:val="0"/>
                <w:noProof/>
                <w:sz w:val="24"/>
                <w:szCs w:val="24"/>
              </w:rPr>
              <w:t>7. Biroja budžeta līdzekļu izlietojums</w:t>
            </w:r>
            <w:r w:rsidR="009060F2" w:rsidRPr="009060F2">
              <w:rPr>
                <w:rFonts w:ascii="Times New Roman" w:hAnsi="Times New Roman" w:cs="Times New Roman"/>
                <w:b w:val="0"/>
                <w:noProof/>
                <w:webHidden/>
                <w:sz w:val="24"/>
                <w:szCs w:val="24"/>
              </w:rPr>
              <w:tab/>
            </w:r>
            <w:r w:rsidR="009060F2" w:rsidRPr="009060F2">
              <w:rPr>
                <w:rFonts w:ascii="Times New Roman" w:hAnsi="Times New Roman" w:cs="Times New Roman"/>
                <w:b w:val="0"/>
                <w:noProof/>
                <w:webHidden/>
                <w:sz w:val="24"/>
                <w:szCs w:val="24"/>
              </w:rPr>
              <w:fldChar w:fldCharType="begin"/>
            </w:r>
            <w:r w:rsidR="009060F2" w:rsidRPr="009060F2">
              <w:rPr>
                <w:rFonts w:ascii="Times New Roman" w:hAnsi="Times New Roman" w:cs="Times New Roman"/>
                <w:b w:val="0"/>
                <w:noProof/>
                <w:webHidden/>
                <w:sz w:val="24"/>
                <w:szCs w:val="24"/>
              </w:rPr>
              <w:instrText xml:space="preserve"> PAGEREF _Toc505249174 \h </w:instrText>
            </w:r>
            <w:r w:rsidR="009060F2" w:rsidRPr="009060F2">
              <w:rPr>
                <w:rFonts w:ascii="Times New Roman" w:hAnsi="Times New Roman" w:cs="Times New Roman"/>
                <w:b w:val="0"/>
                <w:noProof/>
                <w:webHidden/>
                <w:sz w:val="24"/>
                <w:szCs w:val="24"/>
              </w:rPr>
            </w:r>
            <w:r w:rsidR="009060F2" w:rsidRPr="009060F2">
              <w:rPr>
                <w:rFonts w:ascii="Times New Roman" w:hAnsi="Times New Roman" w:cs="Times New Roman"/>
                <w:b w:val="0"/>
                <w:noProof/>
                <w:webHidden/>
                <w:sz w:val="24"/>
                <w:szCs w:val="24"/>
              </w:rPr>
              <w:fldChar w:fldCharType="separate"/>
            </w:r>
            <w:r w:rsidR="00766EF5">
              <w:rPr>
                <w:rFonts w:ascii="Times New Roman" w:hAnsi="Times New Roman" w:cs="Times New Roman"/>
                <w:b w:val="0"/>
                <w:noProof/>
                <w:webHidden/>
                <w:sz w:val="24"/>
                <w:szCs w:val="24"/>
              </w:rPr>
              <w:t>29</w:t>
            </w:r>
            <w:r w:rsidR="009060F2" w:rsidRPr="009060F2">
              <w:rPr>
                <w:rFonts w:ascii="Times New Roman" w:hAnsi="Times New Roman" w:cs="Times New Roman"/>
                <w:b w:val="0"/>
                <w:noProof/>
                <w:webHidden/>
                <w:sz w:val="24"/>
                <w:szCs w:val="24"/>
              </w:rPr>
              <w:fldChar w:fldCharType="end"/>
            </w:r>
          </w:hyperlink>
        </w:p>
        <w:p w:rsidR="009060F2" w:rsidRPr="009060F2" w:rsidRDefault="00CC7E5E" w:rsidP="009060F2">
          <w:pPr>
            <w:pStyle w:val="TOC2"/>
            <w:tabs>
              <w:tab w:val="right" w:leader="dot" w:pos="9061"/>
            </w:tabs>
            <w:spacing w:before="0" w:line="360" w:lineRule="auto"/>
            <w:rPr>
              <w:rFonts w:ascii="Times New Roman" w:eastAsiaTheme="minorEastAsia" w:hAnsi="Times New Roman" w:cs="Times New Roman"/>
              <w:b w:val="0"/>
              <w:bCs w:val="0"/>
              <w:noProof/>
              <w:sz w:val="24"/>
              <w:szCs w:val="24"/>
              <w:lang w:eastAsia="lv-LV"/>
            </w:rPr>
          </w:pPr>
          <w:hyperlink w:anchor="_Toc505249175" w:history="1">
            <w:r w:rsidR="009060F2" w:rsidRPr="009060F2">
              <w:rPr>
                <w:rStyle w:val="Hyperlink"/>
                <w:rFonts w:ascii="Times New Roman" w:hAnsi="Times New Roman" w:cs="Times New Roman"/>
                <w:b w:val="0"/>
                <w:noProof/>
                <w:sz w:val="24"/>
                <w:szCs w:val="24"/>
                <w:lang w:eastAsia="lv-LV"/>
              </w:rPr>
              <w:t>8. Biroja darbības prioritātes 2018.gadam</w:t>
            </w:r>
            <w:r w:rsidR="009060F2" w:rsidRPr="009060F2">
              <w:rPr>
                <w:rFonts w:ascii="Times New Roman" w:hAnsi="Times New Roman" w:cs="Times New Roman"/>
                <w:b w:val="0"/>
                <w:noProof/>
                <w:webHidden/>
                <w:sz w:val="24"/>
                <w:szCs w:val="24"/>
              </w:rPr>
              <w:tab/>
            </w:r>
            <w:r w:rsidR="009060F2" w:rsidRPr="009060F2">
              <w:rPr>
                <w:rFonts w:ascii="Times New Roman" w:hAnsi="Times New Roman" w:cs="Times New Roman"/>
                <w:b w:val="0"/>
                <w:noProof/>
                <w:webHidden/>
                <w:sz w:val="24"/>
                <w:szCs w:val="24"/>
              </w:rPr>
              <w:fldChar w:fldCharType="begin"/>
            </w:r>
            <w:r w:rsidR="009060F2" w:rsidRPr="009060F2">
              <w:rPr>
                <w:rFonts w:ascii="Times New Roman" w:hAnsi="Times New Roman" w:cs="Times New Roman"/>
                <w:b w:val="0"/>
                <w:noProof/>
                <w:webHidden/>
                <w:sz w:val="24"/>
                <w:szCs w:val="24"/>
              </w:rPr>
              <w:instrText xml:space="preserve"> PAGEREF _Toc505249175 \h </w:instrText>
            </w:r>
            <w:r w:rsidR="009060F2" w:rsidRPr="009060F2">
              <w:rPr>
                <w:rFonts w:ascii="Times New Roman" w:hAnsi="Times New Roman" w:cs="Times New Roman"/>
                <w:b w:val="0"/>
                <w:noProof/>
                <w:webHidden/>
                <w:sz w:val="24"/>
                <w:szCs w:val="24"/>
              </w:rPr>
            </w:r>
            <w:r w:rsidR="009060F2" w:rsidRPr="009060F2">
              <w:rPr>
                <w:rFonts w:ascii="Times New Roman" w:hAnsi="Times New Roman" w:cs="Times New Roman"/>
                <w:b w:val="0"/>
                <w:noProof/>
                <w:webHidden/>
                <w:sz w:val="24"/>
                <w:szCs w:val="24"/>
              </w:rPr>
              <w:fldChar w:fldCharType="separate"/>
            </w:r>
            <w:r w:rsidR="00766EF5">
              <w:rPr>
                <w:rFonts w:ascii="Times New Roman" w:hAnsi="Times New Roman" w:cs="Times New Roman"/>
                <w:b w:val="0"/>
                <w:noProof/>
                <w:webHidden/>
                <w:sz w:val="24"/>
                <w:szCs w:val="24"/>
              </w:rPr>
              <w:t>30</w:t>
            </w:r>
            <w:r w:rsidR="009060F2" w:rsidRPr="009060F2">
              <w:rPr>
                <w:rFonts w:ascii="Times New Roman" w:hAnsi="Times New Roman" w:cs="Times New Roman"/>
                <w:b w:val="0"/>
                <w:noProof/>
                <w:webHidden/>
                <w:sz w:val="24"/>
                <w:szCs w:val="24"/>
              </w:rPr>
              <w:fldChar w:fldCharType="end"/>
            </w:r>
          </w:hyperlink>
        </w:p>
        <w:p w:rsidR="009060F2" w:rsidRDefault="009060F2" w:rsidP="009060F2">
          <w:pPr>
            <w:spacing w:after="0" w:line="360" w:lineRule="auto"/>
          </w:pPr>
          <w:r w:rsidRPr="009060F2">
            <w:rPr>
              <w:rFonts w:ascii="Times New Roman" w:hAnsi="Times New Roman" w:cs="Times New Roman"/>
              <w:bCs/>
              <w:noProof/>
              <w:sz w:val="24"/>
              <w:szCs w:val="24"/>
            </w:rPr>
            <w:fldChar w:fldCharType="end"/>
          </w:r>
        </w:p>
      </w:sdtContent>
    </w:sdt>
    <w:p w:rsidR="005C7C99" w:rsidRDefault="005C7C99" w:rsidP="006C79D7">
      <w:pPr>
        <w:jc w:val="center"/>
        <w:rPr>
          <w:rFonts w:ascii="Times New Roman" w:hAnsi="Times New Roman" w:cs="Times New Roman"/>
          <w:bCs/>
          <w:caps/>
          <w:sz w:val="28"/>
          <w:szCs w:val="28"/>
        </w:rPr>
      </w:pPr>
    </w:p>
    <w:p w:rsidR="005C7C99" w:rsidRDefault="005C7C99" w:rsidP="006C79D7">
      <w:pPr>
        <w:jc w:val="center"/>
        <w:rPr>
          <w:rFonts w:ascii="Times New Roman" w:hAnsi="Times New Roman" w:cs="Times New Roman"/>
          <w:bCs/>
          <w:caps/>
          <w:sz w:val="28"/>
          <w:szCs w:val="28"/>
        </w:rPr>
      </w:pPr>
    </w:p>
    <w:p w:rsidR="00B72ED6" w:rsidRDefault="00B72ED6" w:rsidP="006C79D7">
      <w:pPr>
        <w:rPr>
          <w:rFonts w:ascii="Times New Roman" w:eastAsia="Times New Roman" w:hAnsi="Times New Roman" w:cs="Times New Roman"/>
          <w:b/>
          <w:bCs/>
          <w:kern w:val="28"/>
          <w:sz w:val="28"/>
          <w:szCs w:val="32"/>
          <w:highlight w:val="lightGray"/>
        </w:rPr>
      </w:pPr>
      <w:bookmarkStart w:id="9" w:name="_Toc474219910"/>
      <w:bookmarkStart w:id="10" w:name="_Toc474220915"/>
      <w:bookmarkStart w:id="11" w:name="_Toc474410924"/>
      <w:r>
        <w:rPr>
          <w:highlight w:val="lightGray"/>
        </w:rPr>
        <w:br w:type="page"/>
      </w:r>
    </w:p>
    <w:p w:rsidR="005C7C99" w:rsidRPr="00F24C19" w:rsidRDefault="00CF1C86" w:rsidP="009060F2">
      <w:pPr>
        <w:pStyle w:val="Heading2"/>
        <w:rPr>
          <w:sz w:val="28"/>
          <w:szCs w:val="28"/>
        </w:rPr>
      </w:pPr>
      <w:bookmarkStart w:id="12" w:name="_Toc505249162"/>
      <w:r w:rsidRPr="00F24C19">
        <w:rPr>
          <w:sz w:val="28"/>
          <w:szCs w:val="28"/>
        </w:rPr>
        <w:lastRenderedPageBreak/>
        <w:t>1. </w:t>
      </w:r>
      <w:r w:rsidR="005C7C99" w:rsidRPr="00F24C19">
        <w:rPr>
          <w:sz w:val="28"/>
          <w:szCs w:val="28"/>
        </w:rPr>
        <w:t>Korupcijas novēršanas un apkarošanas biroja</w:t>
      </w:r>
      <w:bookmarkStart w:id="13" w:name="_Toc474219911"/>
      <w:bookmarkEnd w:id="9"/>
      <w:r w:rsidRPr="00F24C19">
        <w:rPr>
          <w:sz w:val="28"/>
          <w:szCs w:val="28"/>
        </w:rPr>
        <w:t xml:space="preserve"> </w:t>
      </w:r>
      <w:r w:rsidR="005C7C99" w:rsidRPr="00F24C19">
        <w:rPr>
          <w:sz w:val="28"/>
          <w:szCs w:val="28"/>
        </w:rPr>
        <w:t>darbības vispārīgs raksturojums</w:t>
      </w:r>
      <w:bookmarkEnd w:id="10"/>
      <w:bookmarkEnd w:id="11"/>
      <w:bookmarkEnd w:id="13"/>
      <w:bookmarkEnd w:id="12"/>
    </w:p>
    <w:p w:rsidR="005C7C99" w:rsidRDefault="005C7C99" w:rsidP="006C79D7">
      <w:pPr>
        <w:pStyle w:val="Default"/>
        <w:spacing w:line="276" w:lineRule="auto"/>
        <w:ind w:firstLine="567"/>
        <w:jc w:val="both"/>
        <w:rPr>
          <w:color w:val="auto"/>
        </w:rPr>
      </w:pPr>
    </w:p>
    <w:p w:rsidR="005C7C99" w:rsidRDefault="005C7C99" w:rsidP="009060F2">
      <w:pPr>
        <w:pStyle w:val="Default"/>
        <w:spacing w:line="276" w:lineRule="auto"/>
        <w:ind w:firstLine="709"/>
        <w:jc w:val="both"/>
        <w:rPr>
          <w:color w:val="auto"/>
        </w:rPr>
      </w:pPr>
      <w:r w:rsidRPr="00C41916">
        <w:rPr>
          <w:color w:val="auto"/>
        </w:rPr>
        <w:t>Ziņojums par Korupcijas novēršanas un apkarošanas biroja (turpmāk – Birojs) darbības rezultātiem</w:t>
      </w:r>
      <w:r w:rsidRPr="00C41916">
        <w:rPr>
          <w:bCs/>
          <w:color w:val="auto"/>
        </w:rPr>
        <w:t xml:space="preserve"> 201</w:t>
      </w:r>
      <w:r w:rsidR="00CF1C86">
        <w:rPr>
          <w:bCs/>
          <w:color w:val="auto"/>
        </w:rPr>
        <w:t>7</w:t>
      </w:r>
      <w:r w:rsidRPr="00C41916">
        <w:rPr>
          <w:bCs/>
          <w:color w:val="auto"/>
        </w:rPr>
        <w:t xml:space="preserve">.gadā </w:t>
      </w:r>
      <w:r w:rsidRPr="00C41916">
        <w:rPr>
          <w:color w:val="auto"/>
        </w:rPr>
        <w:t>sagatavots iesniegšanai Ministru kabinetā un Saeimā saskaņā ar Korupcijas novēršanas un apkarošanas biroja likuma 4.panta sestās daļas 4.punktu, kas no</w:t>
      </w:r>
      <w:r w:rsidR="00CF1C86">
        <w:rPr>
          <w:color w:val="auto"/>
        </w:rPr>
        <w:t>teic</w:t>
      </w:r>
      <w:r w:rsidRPr="00C41916">
        <w:rPr>
          <w:color w:val="auto"/>
        </w:rPr>
        <w:t xml:space="preserve">, ka Biroja priekšnieks ne retāk kā reizi gadā iesniedz Ministru kabinetam un Saeimai ziņojumu par Biroja darbības rezultātiem funkciju izpildē, par Biroja </w:t>
      </w:r>
      <w:proofErr w:type="spellStart"/>
      <w:r w:rsidRPr="00C41916">
        <w:rPr>
          <w:color w:val="auto"/>
        </w:rPr>
        <w:t>personālpolitikas</w:t>
      </w:r>
      <w:proofErr w:type="spellEnd"/>
      <w:r w:rsidRPr="00C41916">
        <w:rPr>
          <w:color w:val="auto"/>
        </w:rPr>
        <w:t xml:space="preserve"> attīstību un budžeta līdzekļu izlietojumu. Ziņojumā iekļauj Biroja darbības rezultatīvos rādītājus atbilstoši Ministru kabineta </w:t>
      </w:r>
      <w:r w:rsidR="00EC3057" w:rsidRPr="00C41916">
        <w:rPr>
          <w:color w:val="auto"/>
        </w:rPr>
        <w:t xml:space="preserve">2016.gada 16.augusta </w:t>
      </w:r>
      <w:r w:rsidRPr="00C41916">
        <w:rPr>
          <w:color w:val="auto"/>
        </w:rPr>
        <w:t xml:space="preserve">noteikumiem Nr.537 “Noteikumi par informāciju, kas iekļaujama ziņojumā, kuru Korupcijas novēršanas un apkarošanas birojs sniedz Ministru kabinetam un Saeimai”. </w:t>
      </w:r>
      <w:r w:rsidR="00EC3057">
        <w:rPr>
          <w:color w:val="auto"/>
        </w:rPr>
        <w:t xml:space="preserve"> </w:t>
      </w:r>
    </w:p>
    <w:p w:rsidR="005C7C99" w:rsidRPr="00C41916" w:rsidRDefault="005C7C99" w:rsidP="009060F2">
      <w:pPr>
        <w:pStyle w:val="Default"/>
        <w:spacing w:line="276" w:lineRule="auto"/>
        <w:ind w:firstLine="567"/>
        <w:jc w:val="both"/>
        <w:rPr>
          <w:color w:val="auto"/>
        </w:rPr>
      </w:pPr>
    </w:p>
    <w:p w:rsidR="009060F2" w:rsidRDefault="00CF1C86" w:rsidP="009060F2">
      <w:pPr>
        <w:pStyle w:val="Heading3"/>
        <w:spacing w:before="0" w:after="0" w:line="276" w:lineRule="auto"/>
        <w:jc w:val="center"/>
        <w:rPr>
          <w:rFonts w:ascii="Times New Roman" w:hAnsi="Times New Roman"/>
          <w:sz w:val="28"/>
          <w:szCs w:val="28"/>
        </w:rPr>
      </w:pPr>
      <w:bookmarkStart w:id="14" w:name="_Toc474219912"/>
      <w:bookmarkStart w:id="15" w:name="_Toc474220916"/>
      <w:bookmarkStart w:id="16" w:name="_Toc474410925"/>
      <w:bookmarkStart w:id="17" w:name="_Toc505249163"/>
      <w:r w:rsidRPr="009060F2">
        <w:rPr>
          <w:rFonts w:ascii="Times New Roman" w:hAnsi="Times New Roman"/>
          <w:sz w:val="28"/>
          <w:szCs w:val="28"/>
        </w:rPr>
        <w:t>1.1. </w:t>
      </w:r>
      <w:r w:rsidR="005C7C99" w:rsidRPr="009060F2">
        <w:rPr>
          <w:rFonts w:ascii="Times New Roman" w:hAnsi="Times New Roman"/>
          <w:sz w:val="28"/>
          <w:szCs w:val="28"/>
        </w:rPr>
        <w:t xml:space="preserve">Biroja juridiskais statuss, </w:t>
      </w:r>
    </w:p>
    <w:p w:rsidR="005C7C99" w:rsidRPr="009060F2" w:rsidRDefault="005C7C99" w:rsidP="009060F2">
      <w:pPr>
        <w:pStyle w:val="Heading3"/>
        <w:spacing w:before="0" w:after="0" w:line="276" w:lineRule="auto"/>
        <w:jc w:val="center"/>
        <w:rPr>
          <w:rFonts w:ascii="Times New Roman" w:hAnsi="Times New Roman"/>
          <w:sz w:val="28"/>
          <w:szCs w:val="28"/>
        </w:rPr>
      </w:pPr>
      <w:r w:rsidRPr="009060F2">
        <w:rPr>
          <w:rFonts w:ascii="Times New Roman" w:hAnsi="Times New Roman"/>
          <w:sz w:val="28"/>
          <w:szCs w:val="28"/>
        </w:rPr>
        <w:t>funkcijas, prioritātes</w:t>
      </w:r>
      <w:r w:rsidR="00CF1C86" w:rsidRPr="009060F2">
        <w:rPr>
          <w:rFonts w:ascii="Times New Roman" w:hAnsi="Times New Roman"/>
          <w:sz w:val="28"/>
          <w:szCs w:val="28"/>
        </w:rPr>
        <w:t xml:space="preserve"> </w:t>
      </w:r>
      <w:r w:rsidRPr="009060F2">
        <w:rPr>
          <w:rFonts w:ascii="Times New Roman" w:hAnsi="Times New Roman"/>
          <w:sz w:val="28"/>
          <w:szCs w:val="28"/>
        </w:rPr>
        <w:t>un darbības virzieni</w:t>
      </w:r>
      <w:bookmarkEnd w:id="14"/>
      <w:bookmarkEnd w:id="15"/>
      <w:bookmarkEnd w:id="16"/>
      <w:bookmarkEnd w:id="17"/>
    </w:p>
    <w:p w:rsidR="005C7C99" w:rsidRDefault="005C7C99" w:rsidP="009060F2">
      <w:pPr>
        <w:pStyle w:val="Default"/>
        <w:spacing w:line="276" w:lineRule="auto"/>
        <w:ind w:firstLine="567"/>
        <w:jc w:val="both"/>
        <w:rPr>
          <w:color w:val="auto"/>
        </w:rPr>
      </w:pPr>
    </w:p>
    <w:p w:rsidR="005C7C99" w:rsidRPr="00C41916" w:rsidRDefault="00CF1C86" w:rsidP="009060F2">
      <w:pPr>
        <w:pStyle w:val="Default"/>
        <w:spacing w:line="276" w:lineRule="auto"/>
        <w:ind w:firstLine="709"/>
        <w:jc w:val="both"/>
        <w:rPr>
          <w:color w:val="auto"/>
        </w:rPr>
      </w:pPr>
      <w:r w:rsidRPr="00CF1C86">
        <w:rPr>
          <w:color w:val="auto"/>
        </w:rPr>
        <w:t xml:space="preserve">Birojs </w:t>
      </w:r>
      <w:r>
        <w:rPr>
          <w:color w:val="auto"/>
        </w:rPr>
        <w:t xml:space="preserve">ir tiešās pārvaldes iestāde, </w:t>
      </w:r>
      <w:r w:rsidRPr="00CF1C86">
        <w:rPr>
          <w:color w:val="auto"/>
        </w:rPr>
        <w:t xml:space="preserve">kas </w:t>
      </w:r>
      <w:r>
        <w:rPr>
          <w:color w:val="auto"/>
        </w:rPr>
        <w:t>ir</w:t>
      </w:r>
      <w:r w:rsidRPr="00CF1C86">
        <w:rPr>
          <w:color w:val="auto"/>
        </w:rPr>
        <w:t xml:space="preserve"> Ministru kabineta pārraudzībā</w:t>
      </w:r>
      <w:r>
        <w:rPr>
          <w:color w:val="auto"/>
        </w:rPr>
        <w:t>, un</w:t>
      </w:r>
      <w:r w:rsidRPr="00CF1C86">
        <w:rPr>
          <w:color w:val="auto"/>
        </w:rPr>
        <w:t xml:space="preserve"> pilda </w:t>
      </w:r>
      <w:r>
        <w:rPr>
          <w:color w:val="auto"/>
        </w:rPr>
        <w:t>Korupcijas novēršanas un apkarošanas biroja likumā</w:t>
      </w:r>
      <w:r w:rsidRPr="00CF1C86">
        <w:rPr>
          <w:color w:val="auto"/>
        </w:rPr>
        <w:t xml:space="preserve"> noteiktās funkcijas korupcijas novēršanā un apkarošanā, kā arī kontrolē politisko organizāciju (partiju) un to apvienību finansēšanas noteikumu izpildi un pārbauda, kā tiek ievēroti ierobežojumi, kas noteikti priekšvēlēšanu aģitācijai, aģitācijai pirms tautas nobalsošanas, aģitācijai par likuma ierosināšanu un aģitācijai par Saeimas atsaukšanas ierosināšanu</w:t>
      </w:r>
      <w:r w:rsidR="005C7C99" w:rsidRPr="00C41916">
        <w:rPr>
          <w:color w:val="auto"/>
        </w:rPr>
        <w:t>.</w:t>
      </w:r>
    </w:p>
    <w:p w:rsidR="005C7C99" w:rsidRDefault="005C7C99" w:rsidP="006C79D7">
      <w:pPr>
        <w:spacing w:after="0"/>
        <w:ind w:firstLine="709"/>
        <w:jc w:val="both"/>
        <w:rPr>
          <w:rFonts w:ascii="Times New Roman" w:eastAsia="Times New Roman" w:hAnsi="Times New Roman"/>
          <w:sz w:val="24"/>
          <w:szCs w:val="24"/>
          <w:lang w:eastAsia="lv-LV"/>
        </w:rPr>
      </w:pPr>
      <w:r w:rsidRPr="00C41916">
        <w:rPr>
          <w:rFonts w:ascii="Times New Roman" w:eastAsia="Times New Roman" w:hAnsi="Times New Roman"/>
          <w:sz w:val="24"/>
          <w:szCs w:val="24"/>
          <w:lang w:eastAsia="lv-LV"/>
        </w:rPr>
        <w:t xml:space="preserve">Biroja </w:t>
      </w:r>
      <w:proofErr w:type="spellStart"/>
      <w:r w:rsidRPr="00C41916">
        <w:rPr>
          <w:rFonts w:ascii="Times New Roman" w:eastAsia="Times New Roman" w:hAnsi="Times New Roman"/>
          <w:sz w:val="24"/>
          <w:szCs w:val="24"/>
          <w:lang w:eastAsia="lv-LV"/>
        </w:rPr>
        <w:t>virsmērķis</w:t>
      </w:r>
      <w:proofErr w:type="spellEnd"/>
      <w:r w:rsidRPr="00C41916">
        <w:rPr>
          <w:rFonts w:ascii="Times New Roman" w:eastAsia="Times New Roman" w:hAnsi="Times New Roman"/>
          <w:sz w:val="24"/>
          <w:szCs w:val="24"/>
          <w:lang w:eastAsia="lv-LV"/>
        </w:rPr>
        <w:t xml:space="preserve"> ir vērsties pret korupciju ar likuma spēku un sabiedrības atbalstu, lai panāktu amatpersonām uzticētās varas godprātīgu izmantošanu valsts un sabiedrības interesēs.</w:t>
      </w:r>
    </w:p>
    <w:p w:rsidR="00F9286E" w:rsidRPr="00C41916" w:rsidRDefault="00F9286E" w:rsidP="006C79D7">
      <w:pPr>
        <w:spacing w:after="0"/>
        <w:ind w:firstLine="709"/>
        <w:jc w:val="both"/>
        <w:rPr>
          <w:rFonts w:ascii="Times New Roman" w:eastAsia="Times New Roman" w:hAnsi="Times New Roman"/>
          <w:sz w:val="24"/>
          <w:szCs w:val="24"/>
          <w:lang w:eastAsia="lv-LV"/>
        </w:rPr>
      </w:pPr>
      <w:r w:rsidRPr="00F9286E">
        <w:rPr>
          <w:rFonts w:ascii="Times New Roman" w:eastAsia="Times New Roman" w:hAnsi="Times New Roman"/>
          <w:sz w:val="24"/>
          <w:szCs w:val="24"/>
          <w:lang w:eastAsia="lv-LV"/>
        </w:rPr>
        <w:t>2017.gada 15.jūnijā ar vienbalsīgu (par – 86, pret – 0, atturas – 0) lēmumu Saeima Biroja priekšnieka amatā apstiprināja līdz tam Militārās izlūkošanas un drošības die</w:t>
      </w:r>
      <w:r>
        <w:rPr>
          <w:rFonts w:ascii="Times New Roman" w:eastAsia="Times New Roman" w:hAnsi="Times New Roman"/>
          <w:sz w:val="24"/>
          <w:szCs w:val="24"/>
          <w:lang w:eastAsia="lv-LV"/>
        </w:rPr>
        <w:t>nest</w:t>
      </w:r>
      <w:r w:rsidR="00057A29">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w:t>
      </w:r>
      <w:r w:rsidR="00057A29">
        <w:rPr>
          <w:rFonts w:ascii="Times New Roman" w:eastAsia="Times New Roman" w:hAnsi="Times New Roman"/>
          <w:sz w:val="24"/>
          <w:szCs w:val="24"/>
          <w:lang w:eastAsia="lv-LV"/>
        </w:rPr>
        <w:t>amatpersonu</w:t>
      </w:r>
      <w:r>
        <w:rPr>
          <w:rFonts w:ascii="Times New Roman" w:eastAsia="Times New Roman" w:hAnsi="Times New Roman"/>
          <w:sz w:val="24"/>
          <w:szCs w:val="24"/>
          <w:lang w:eastAsia="lv-LV"/>
        </w:rPr>
        <w:t xml:space="preserve"> Jēkabu Straumi. </w:t>
      </w:r>
      <w:r w:rsidR="000F75AE">
        <w:rPr>
          <w:rFonts w:ascii="Times New Roman" w:eastAsia="Times New Roman" w:hAnsi="Times New Roman"/>
          <w:sz w:val="24"/>
          <w:szCs w:val="24"/>
          <w:lang w:eastAsia="lv-LV"/>
        </w:rPr>
        <w:t xml:space="preserve">Stājoties amatā, </w:t>
      </w:r>
      <w:r w:rsidR="00B820D5">
        <w:rPr>
          <w:rFonts w:ascii="Times New Roman" w:eastAsia="Times New Roman" w:hAnsi="Times New Roman"/>
          <w:color w:val="000000" w:themeColor="text1"/>
          <w:sz w:val="24"/>
          <w:szCs w:val="24"/>
          <w:lang w:eastAsia="lv-LV"/>
        </w:rPr>
        <w:t>Biroja priekšnieks par savām prioritātēm noteica</w:t>
      </w:r>
      <w:r w:rsidR="00B820D5" w:rsidRPr="00B820D5">
        <w:rPr>
          <w:rFonts w:ascii="Times New Roman" w:eastAsia="Times New Roman" w:hAnsi="Times New Roman"/>
          <w:color w:val="000000" w:themeColor="text1"/>
          <w:sz w:val="24"/>
          <w:szCs w:val="24"/>
          <w:lang w:eastAsia="lv-LV"/>
        </w:rPr>
        <w:t xml:space="preserve"> </w:t>
      </w:r>
      <w:r w:rsidR="00B820D5">
        <w:rPr>
          <w:rFonts w:ascii="Times New Roman" w:eastAsia="Times New Roman" w:hAnsi="Times New Roman"/>
          <w:color w:val="000000" w:themeColor="text1"/>
          <w:sz w:val="24"/>
          <w:szCs w:val="24"/>
          <w:lang w:eastAsia="lv-LV"/>
        </w:rPr>
        <w:t>Biroja</w:t>
      </w:r>
      <w:r w:rsidR="008928F5">
        <w:rPr>
          <w:rFonts w:ascii="Times New Roman" w:eastAsia="Times New Roman" w:hAnsi="Times New Roman"/>
          <w:color w:val="000000" w:themeColor="text1"/>
          <w:sz w:val="24"/>
          <w:szCs w:val="24"/>
          <w:lang w:eastAsia="lv-LV"/>
        </w:rPr>
        <w:t xml:space="preserve"> kolektīva atjaunošanu, B</w:t>
      </w:r>
      <w:r w:rsidR="00B820D5" w:rsidRPr="00B820D5">
        <w:rPr>
          <w:rFonts w:ascii="Times New Roman" w:eastAsia="Times New Roman" w:hAnsi="Times New Roman"/>
          <w:color w:val="000000" w:themeColor="text1"/>
          <w:sz w:val="24"/>
          <w:szCs w:val="24"/>
          <w:lang w:eastAsia="lv-LV"/>
        </w:rPr>
        <w:t>iroja reputācijas stiprināšanu un valsts tautsaimniecības izaugsmes veicināšanu, apkarojot korupciju.</w:t>
      </w:r>
    </w:p>
    <w:p w:rsidR="00753B0E" w:rsidRPr="00347B23" w:rsidRDefault="00BD3197" w:rsidP="006C79D7">
      <w:pPr>
        <w:pStyle w:val="Default"/>
        <w:spacing w:line="276" w:lineRule="auto"/>
        <w:ind w:firstLine="709"/>
        <w:jc w:val="both"/>
        <w:rPr>
          <w:bCs/>
          <w:color w:val="000000" w:themeColor="text1"/>
        </w:rPr>
      </w:pPr>
      <w:r w:rsidRPr="00347B23">
        <w:rPr>
          <w:bCs/>
          <w:color w:val="000000" w:themeColor="text1"/>
        </w:rPr>
        <w:t>Pamatojoties uz ziņojumā “Par Korupcijas novēršanas un apkarošanas biroja darbību 2016.gadā”</w:t>
      </w:r>
      <w:r w:rsidR="00E42E34" w:rsidRPr="00347B23">
        <w:rPr>
          <w:bCs/>
          <w:color w:val="000000" w:themeColor="text1"/>
        </w:rPr>
        <w:t xml:space="preserve"> norādīto</w:t>
      </w:r>
      <w:r w:rsidR="00753B0E" w:rsidRPr="00347B23">
        <w:rPr>
          <w:bCs/>
          <w:color w:val="000000" w:themeColor="text1"/>
        </w:rPr>
        <w:t xml:space="preserve">, </w:t>
      </w:r>
      <w:r w:rsidR="00602850" w:rsidRPr="00347B23">
        <w:rPr>
          <w:bCs/>
          <w:color w:val="000000" w:themeColor="text1"/>
        </w:rPr>
        <w:t>Birojam 2017.gadā bija šādas darbības prioritātes:</w:t>
      </w:r>
    </w:p>
    <w:p w:rsidR="000F75AE" w:rsidRDefault="00F069CC" w:rsidP="006C79D7">
      <w:pPr>
        <w:pStyle w:val="Default"/>
        <w:numPr>
          <w:ilvl w:val="0"/>
          <w:numId w:val="20"/>
        </w:numPr>
        <w:tabs>
          <w:tab w:val="left" w:pos="993"/>
        </w:tabs>
        <w:spacing w:line="276" w:lineRule="auto"/>
        <w:ind w:left="0" w:firstLine="709"/>
        <w:jc w:val="both"/>
        <w:rPr>
          <w:bCs/>
          <w:color w:val="000000" w:themeColor="text1"/>
        </w:rPr>
      </w:pPr>
      <w:r w:rsidRPr="000F75AE">
        <w:rPr>
          <w:bCs/>
          <w:color w:val="000000" w:themeColor="text1"/>
        </w:rPr>
        <w:t xml:space="preserve">Birojs </w:t>
      </w:r>
      <w:r w:rsidR="001E6FF8" w:rsidRPr="000F75AE">
        <w:rPr>
          <w:bCs/>
          <w:color w:val="000000" w:themeColor="text1"/>
        </w:rPr>
        <w:t>pieejamo resursu ietvaros</w:t>
      </w:r>
      <w:r w:rsidRPr="000F75AE">
        <w:rPr>
          <w:bCs/>
          <w:color w:val="000000" w:themeColor="text1"/>
        </w:rPr>
        <w:t xml:space="preserve"> turpināja</w:t>
      </w:r>
      <w:r w:rsidR="00BD3197" w:rsidRPr="000F75AE">
        <w:rPr>
          <w:bCs/>
          <w:color w:val="000000" w:themeColor="text1"/>
        </w:rPr>
        <w:t xml:space="preserve"> nodrošināt Korupcijas novēršanas un apkarošanas pamatnostādnēs 2015.</w:t>
      </w:r>
      <w:r w:rsidR="00DD02E3">
        <w:rPr>
          <w:bCs/>
          <w:color w:val="000000" w:themeColor="text1"/>
        </w:rPr>
        <w:t>–</w:t>
      </w:r>
      <w:r w:rsidR="00BD3197" w:rsidRPr="000F75AE">
        <w:rPr>
          <w:bCs/>
          <w:color w:val="000000" w:themeColor="text1"/>
        </w:rPr>
        <w:t>2020.gadam</w:t>
      </w:r>
      <w:r w:rsidR="00EC3057">
        <w:rPr>
          <w:bCs/>
          <w:color w:val="000000" w:themeColor="text1"/>
        </w:rPr>
        <w:t xml:space="preserve"> (turpmāk – Pamatnostādnes)</w:t>
      </w:r>
      <w:r w:rsidR="00BD3197" w:rsidRPr="000F75AE">
        <w:rPr>
          <w:bCs/>
          <w:color w:val="000000" w:themeColor="text1"/>
        </w:rPr>
        <w:t xml:space="preserve"> iekļauto uzdevumu un starptautisko organizāciju sniegto rekomendāciju izpildi.</w:t>
      </w:r>
    </w:p>
    <w:p w:rsidR="00BD3197" w:rsidRDefault="00BD3197" w:rsidP="006C79D7">
      <w:pPr>
        <w:pStyle w:val="Default"/>
        <w:numPr>
          <w:ilvl w:val="0"/>
          <w:numId w:val="20"/>
        </w:numPr>
        <w:tabs>
          <w:tab w:val="left" w:pos="993"/>
        </w:tabs>
        <w:spacing w:line="276" w:lineRule="auto"/>
        <w:ind w:left="0" w:firstLine="709"/>
        <w:jc w:val="both"/>
        <w:rPr>
          <w:bCs/>
          <w:color w:val="000000" w:themeColor="text1"/>
        </w:rPr>
      </w:pPr>
      <w:r w:rsidRPr="000F75AE">
        <w:rPr>
          <w:bCs/>
          <w:color w:val="000000" w:themeColor="text1"/>
        </w:rPr>
        <w:t>Lai mazinātu interešu konfli</w:t>
      </w:r>
      <w:r w:rsidR="00F069CC" w:rsidRPr="000F75AE">
        <w:rPr>
          <w:bCs/>
          <w:color w:val="000000" w:themeColor="text1"/>
        </w:rPr>
        <w:t>ktu un prettiesiskas rīcības ar</w:t>
      </w:r>
      <w:r w:rsidRPr="000F75AE">
        <w:rPr>
          <w:bCs/>
          <w:color w:val="000000" w:themeColor="text1"/>
        </w:rPr>
        <w:t xml:space="preserve"> publiskas personas mantu un finanšu līdzekļiem iespējamību, kā arī lai izskaustu </w:t>
      </w:r>
      <w:proofErr w:type="spellStart"/>
      <w:r w:rsidRPr="000F75AE">
        <w:rPr>
          <w:bCs/>
          <w:color w:val="000000" w:themeColor="text1"/>
        </w:rPr>
        <w:t>koruptīvus</w:t>
      </w:r>
      <w:proofErr w:type="spellEnd"/>
      <w:r w:rsidRPr="000F75AE">
        <w:rPr>
          <w:bCs/>
          <w:color w:val="000000" w:themeColor="text1"/>
        </w:rPr>
        <w:t xml:space="preserve"> noziedzīgus nodarījumus publiskas personas institūcijās, tai skaitā tiesu varas institūcijās, un nodrošinātu efektīvu politisko organizāciju (partiju) un to apvienību finansēšanas kontroli, Birojs realizēja likumā noteiktās funkcijas korupcijas novēršanā, apkarošanā un politisko organizāciju (partiju) finansēšanas kontrolē, fokusējot savu darbību:</w:t>
      </w:r>
    </w:p>
    <w:p w:rsidR="00BD3197" w:rsidRPr="00BD3197" w:rsidRDefault="00BD3197" w:rsidP="006C79D7">
      <w:pPr>
        <w:pStyle w:val="Default"/>
        <w:numPr>
          <w:ilvl w:val="0"/>
          <w:numId w:val="22"/>
        </w:numPr>
        <w:tabs>
          <w:tab w:val="left" w:pos="993"/>
        </w:tabs>
        <w:spacing w:line="276" w:lineRule="auto"/>
        <w:ind w:left="0" w:firstLine="709"/>
        <w:jc w:val="both"/>
        <w:rPr>
          <w:bCs/>
          <w:color w:val="000000" w:themeColor="text1"/>
        </w:rPr>
      </w:pPr>
      <w:r w:rsidRPr="00BD3197">
        <w:rPr>
          <w:bCs/>
          <w:color w:val="000000" w:themeColor="text1"/>
        </w:rPr>
        <w:t xml:space="preserve">uz publiskas personas institūcijām, īpaši pašvaldībām un publiskas personas kapitālsabiedrībām, kas sniedz publiskos pakalpojumus vai realizē apjomīgus preču un pakalpojumu iepirkumus, vai ir iesaistītas Eiropas Savienības fondu apguvē, īpaši </w:t>
      </w:r>
      <w:r w:rsidRPr="00BD3197">
        <w:rPr>
          <w:bCs/>
          <w:color w:val="000000" w:themeColor="text1"/>
        </w:rPr>
        <w:lastRenderedPageBreak/>
        <w:t>būvniecības, transporta, ve</w:t>
      </w:r>
      <w:r w:rsidR="00057A29">
        <w:rPr>
          <w:bCs/>
          <w:color w:val="000000" w:themeColor="text1"/>
        </w:rPr>
        <w:t>selības aprūpes, IT tehnoloģiju</w:t>
      </w:r>
      <w:r w:rsidRPr="00BD3197">
        <w:rPr>
          <w:bCs/>
          <w:color w:val="000000" w:themeColor="text1"/>
        </w:rPr>
        <w:t xml:space="preserve"> un citās augstam korupcijas riskam pakļautajās jomās;</w:t>
      </w:r>
      <w:r>
        <w:rPr>
          <w:bCs/>
          <w:color w:val="000000" w:themeColor="text1"/>
        </w:rPr>
        <w:t xml:space="preserve"> </w:t>
      </w:r>
    </w:p>
    <w:p w:rsidR="00BD3197" w:rsidRPr="00BD3197" w:rsidRDefault="00BD3197" w:rsidP="006C79D7">
      <w:pPr>
        <w:pStyle w:val="Default"/>
        <w:numPr>
          <w:ilvl w:val="0"/>
          <w:numId w:val="22"/>
        </w:numPr>
        <w:tabs>
          <w:tab w:val="left" w:pos="993"/>
        </w:tabs>
        <w:spacing w:line="276" w:lineRule="auto"/>
        <w:ind w:left="0" w:firstLine="709"/>
        <w:jc w:val="both"/>
        <w:rPr>
          <w:bCs/>
          <w:color w:val="000000" w:themeColor="text1"/>
        </w:rPr>
      </w:pPr>
      <w:r w:rsidRPr="00BD3197">
        <w:rPr>
          <w:bCs/>
          <w:color w:val="000000" w:themeColor="text1"/>
        </w:rPr>
        <w:t>uz tiesu varas un tiesu varai piederīgajām institūcijām;</w:t>
      </w:r>
    </w:p>
    <w:p w:rsidR="00BD3197" w:rsidRPr="00BD3197" w:rsidRDefault="00BD3197" w:rsidP="006C79D7">
      <w:pPr>
        <w:pStyle w:val="Default"/>
        <w:numPr>
          <w:ilvl w:val="0"/>
          <w:numId w:val="22"/>
        </w:numPr>
        <w:tabs>
          <w:tab w:val="left" w:pos="993"/>
        </w:tabs>
        <w:spacing w:line="276" w:lineRule="auto"/>
        <w:ind w:left="0" w:firstLine="709"/>
        <w:jc w:val="both"/>
        <w:rPr>
          <w:bCs/>
          <w:color w:val="000000" w:themeColor="text1"/>
        </w:rPr>
      </w:pPr>
      <w:r w:rsidRPr="00BD3197">
        <w:rPr>
          <w:bCs/>
          <w:color w:val="000000" w:themeColor="text1"/>
        </w:rPr>
        <w:t>uz politisko organizāciju (partiju) un to apvienību darbību, nolūkā identificēt un izskaust prettiesisku starpnieku izmantošanu ziedojumiem partijām un atklāt partiju nelegālos finansēšanas avotus (“melnās kases”) .</w:t>
      </w:r>
    </w:p>
    <w:p w:rsidR="000F75AE" w:rsidRDefault="000F75AE" w:rsidP="006C79D7">
      <w:pPr>
        <w:pStyle w:val="Default"/>
        <w:numPr>
          <w:ilvl w:val="0"/>
          <w:numId w:val="20"/>
        </w:numPr>
        <w:tabs>
          <w:tab w:val="left" w:pos="993"/>
        </w:tabs>
        <w:spacing w:line="276" w:lineRule="auto"/>
        <w:ind w:left="0" w:firstLine="709"/>
        <w:jc w:val="both"/>
        <w:rPr>
          <w:bCs/>
          <w:color w:val="000000" w:themeColor="text1"/>
        </w:rPr>
      </w:pPr>
      <w:r>
        <w:rPr>
          <w:bCs/>
          <w:color w:val="000000" w:themeColor="text1"/>
        </w:rPr>
        <w:t>Birojs turpināja</w:t>
      </w:r>
      <w:r w:rsidRPr="00BD3197">
        <w:rPr>
          <w:bCs/>
          <w:color w:val="000000" w:themeColor="text1"/>
        </w:rPr>
        <w:t xml:space="preserve"> darbu pie politisko organizāciju (partiju) un to apvienību finansēšanas noteikumu pilnveidošanas, strādājot pie grozījumiem normatīvajos aktos, cita starpā precizējot ziedošanas kārtību partijām, lai mazinātu starpniecības iespējas un noteiktu ziedotājiem ierobežojumu gada ietvarā ziedot noteiktu procentuālu lielumu no saviem deklarētajiem gada ienākumiem.</w:t>
      </w:r>
    </w:p>
    <w:p w:rsidR="000F75AE" w:rsidRPr="000F75AE" w:rsidRDefault="000F75AE" w:rsidP="006C79D7">
      <w:pPr>
        <w:pStyle w:val="Default"/>
        <w:numPr>
          <w:ilvl w:val="0"/>
          <w:numId w:val="20"/>
        </w:numPr>
        <w:tabs>
          <w:tab w:val="left" w:pos="993"/>
        </w:tabs>
        <w:spacing w:line="276" w:lineRule="auto"/>
        <w:ind w:left="0" w:firstLine="709"/>
        <w:jc w:val="both"/>
        <w:rPr>
          <w:bCs/>
          <w:color w:val="000000" w:themeColor="text1"/>
        </w:rPr>
      </w:pPr>
      <w:r>
        <w:rPr>
          <w:bCs/>
          <w:color w:val="000000" w:themeColor="text1"/>
        </w:rPr>
        <w:t>Birojs turpināja</w:t>
      </w:r>
      <w:r w:rsidRPr="00BD3197">
        <w:rPr>
          <w:bCs/>
          <w:color w:val="000000" w:themeColor="text1"/>
        </w:rPr>
        <w:t xml:space="preserve"> stiprināt korupcijas apkarošanas funkcijas veicēju kapacitāti, nodrošinot darbinieku kvalifikācijas celšanu sarežģītu finanšu darījumu un ārvalstu amatpersonu kukuļošanas izmeklēšanā, kā arī turpin</w:t>
      </w:r>
      <w:r>
        <w:rPr>
          <w:bCs/>
          <w:color w:val="000000" w:themeColor="text1"/>
        </w:rPr>
        <w:t>āja</w:t>
      </w:r>
      <w:r w:rsidRPr="00BD3197">
        <w:rPr>
          <w:bCs/>
          <w:color w:val="000000" w:themeColor="text1"/>
        </w:rPr>
        <w:t xml:space="preserve"> risināt jautājumu par Biroja amatpersonu atlīdzības un sociālo garant</w:t>
      </w:r>
      <w:r>
        <w:rPr>
          <w:bCs/>
          <w:color w:val="000000" w:themeColor="text1"/>
        </w:rPr>
        <w:t>iju uzlabošanu, lai nodrošinātu</w:t>
      </w:r>
      <w:r w:rsidRPr="00BD3197">
        <w:rPr>
          <w:bCs/>
          <w:color w:val="000000" w:themeColor="text1"/>
        </w:rPr>
        <w:t xml:space="preserve"> konkurētspējīgu atalgojumu un novērstu kadru aizplūšanu uz citām tiesībsargājošajām iestādēm un privāto sektoru.</w:t>
      </w:r>
    </w:p>
    <w:p w:rsidR="005C7C99" w:rsidRDefault="005C7C99" w:rsidP="006C79D7">
      <w:pPr>
        <w:pStyle w:val="Default"/>
        <w:spacing w:line="276" w:lineRule="auto"/>
        <w:ind w:firstLine="567"/>
        <w:rPr>
          <w:b/>
          <w:bCs/>
          <w:color w:val="auto"/>
        </w:rPr>
      </w:pPr>
    </w:p>
    <w:p w:rsidR="00F069CC" w:rsidRPr="00C41916" w:rsidRDefault="00F069CC" w:rsidP="006C79D7">
      <w:pPr>
        <w:pStyle w:val="Default"/>
        <w:spacing w:line="276" w:lineRule="auto"/>
        <w:ind w:firstLine="709"/>
        <w:rPr>
          <w:b/>
          <w:bCs/>
          <w:color w:val="auto"/>
        </w:rPr>
      </w:pPr>
      <w:r>
        <w:rPr>
          <w:b/>
          <w:bCs/>
          <w:color w:val="auto"/>
        </w:rPr>
        <w:t>Darbības virzieni:</w:t>
      </w:r>
    </w:p>
    <w:p w:rsidR="005C7C99" w:rsidRPr="00C41916" w:rsidRDefault="005C7C99" w:rsidP="006C79D7">
      <w:pPr>
        <w:pStyle w:val="Default"/>
        <w:spacing w:line="276" w:lineRule="auto"/>
        <w:ind w:firstLine="709"/>
        <w:rPr>
          <w:b/>
          <w:bCs/>
          <w:color w:val="auto"/>
        </w:rPr>
      </w:pPr>
      <w:r w:rsidRPr="00C41916">
        <w:rPr>
          <w:b/>
          <w:bCs/>
          <w:color w:val="auto"/>
        </w:rPr>
        <w:t xml:space="preserve">Valsts amatpersonu interešu konflikta novēršana </w:t>
      </w:r>
    </w:p>
    <w:p w:rsidR="005C7C99" w:rsidRPr="00C41916" w:rsidRDefault="005C7C99" w:rsidP="006C79D7">
      <w:pPr>
        <w:pStyle w:val="Default"/>
        <w:spacing w:line="276" w:lineRule="auto"/>
        <w:ind w:firstLine="709"/>
        <w:jc w:val="both"/>
        <w:rPr>
          <w:color w:val="auto"/>
        </w:rPr>
      </w:pPr>
      <w:r w:rsidRPr="00C41916">
        <w:rPr>
          <w:color w:val="auto"/>
        </w:rPr>
        <w:t xml:space="preserve">Birojs kontrolē likuma ”Par interešu konflikta novēršanu valsts amatpersonu darbībā” (turpmāk – </w:t>
      </w:r>
      <w:r w:rsidR="0096343D">
        <w:rPr>
          <w:color w:val="auto"/>
        </w:rPr>
        <w:t>Interešu konflikta likums</w:t>
      </w:r>
      <w:r w:rsidRPr="00C41916">
        <w:rPr>
          <w:color w:val="auto"/>
        </w:rPr>
        <w:t xml:space="preserve">) izpildi, kā arī citos normatīvajos aktos valsts amatpersonām noteikto aizliegumu un papildu ierobežojumu ievērošanu. Konstatējot </w:t>
      </w:r>
      <w:r w:rsidR="0096343D">
        <w:rPr>
          <w:color w:val="auto"/>
        </w:rPr>
        <w:t>Interešu konflikta likuma</w:t>
      </w:r>
      <w:r w:rsidRPr="00C41916">
        <w:rPr>
          <w:color w:val="auto"/>
        </w:rPr>
        <w:t xml:space="preserve"> normu pārkāpumus, izskatot administratīvo pārkāpumu lietas, Birojs sauc valsts amatpersonas pie administratīvās atbildības, kā arī lūdz </w:t>
      </w:r>
      <w:r w:rsidR="0096343D">
        <w:rPr>
          <w:color w:val="auto"/>
        </w:rPr>
        <w:t>Interešu konflikta likumā</w:t>
      </w:r>
      <w:r>
        <w:rPr>
          <w:color w:val="auto"/>
        </w:rPr>
        <w:t xml:space="preserve"> </w:t>
      </w:r>
      <w:r w:rsidRPr="00C41916">
        <w:rPr>
          <w:color w:val="auto"/>
        </w:rPr>
        <w:t xml:space="preserve">noteiktajā kārtībā valsts amatpersonām atlīdzināt valstij nodarītos zaudējumus. Birojs izvērtē valsts amatpersonu rīcības ar valsts un pašvaldību mantu un finanšu līdzekļiem atbilstību normatīvo aktu prasībām, kā arī valsts un pašvaldību institūciju veiktos darījumus, nolūkā konstatēt, vai valsts amatpersonas rīcība nav vērsta uz to, lai, izmantojot dienesta stāvokli, savas pilnvaras vai pārsniedzot tās, iegūtu nepelnītu labumu sev vai citām personām. </w:t>
      </w:r>
    </w:p>
    <w:p w:rsidR="005C7C99" w:rsidRPr="00C41916" w:rsidRDefault="005C7C99" w:rsidP="006C79D7">
      <w:pPr>
        <w:pStyle w:val="Default"/>
        <w:spacing w:line="276" w:lineRule="auto"/>
        <w:ind w:firstLine="709"/>
        <w:jc w:val="both"/>
        <w:rPr>
          <w:b/>
          <w:bCs/>
          <w:color w:val="auto"/>
        </w:rPr>
      </w:pPr>
    </w:p>
    <w:p w:rsidR="005C7C99" w:rsidRPr="00C41916" w:rsidRDefault="005C7C99" w:rsidP="006C79D7">
      <w:pPr>
        <w:pStyle w:val="Default"/>
        <w:spacing w:line="276" w:lineRule="auto"/>
        <w:ind w:firstLine="709"/>
        <w:jc w:val="both"/>
        <w:rPr>
          <w:b/>
          <w:bCs/>
          <w:color w:val="auto"/>
        </w:rPr>
      </w:pPr>
      <w:r w:rsidRPr="00C41916">
        <w:rPr>
          <w:b/>
          <w:bCs/>
          <w:color w:val="auto"/>
        </w:rPr>
        <w:t xml:space="preserve">Korupcijas apkarošana </w:t>
      </w:r>
    </w:p>
    <w:p w:rsidR="005C7C99" w:rsidRPr="00C41916" w:rsidRDefault="00AA69A6" w:rsidP="006C79D7">
      <w:pPr>
        <w:spacing w:after="0"/>
        <w:ind w:firstLine="709"/>
        <w:jc w:val="both"/>
        <w:rPr>
          <w:rFonts w:ascii="Times New Roman" w:hAnsi="Times New Roman"/>
          <w:sz w:val="24"/>
          <w:szCs w:val="24"/>
        </w:rPr>
      </w:pPr>
      <w:r w:rsidRPr="00AA69A6">
        <w:rPr>
          <w:rFonts w:ascii="Times New Roman" w:hAnsi="Times New Roman"/>
          <w:sz w:val="24"/>
          <w:szCs w:val="24"/>
        </w:rPr>
        <w:t xml:space="preserve">Birojam ir piekritīga noziedzīgu nodarījumu, kas saistīti ar politisko organizāciju (partiju) un to apvienību finansēšanas noteikumu pārkāpumiem, un noziedzīgu nodarījumu valsts institūciju dienestā, kas ir saistīti ar korupciju, izmeklēšana. Realizējot šo funkciju, Biroja amatpersonas veic operatīvo darbību, </w:t>
      </w:r>
      <w:proofErr w:type="spellStart"/>
      <w:r w:rsidRPr="00AA69A6">
        <w:rPr>
          <w:rFonts w:ascii="Times New Roman" w:hAnsi="Times New Roman"/>
          <w:sz w:val="24"/>
          <w:szCs w:val="24"/>
        </w:rPr>
        <w:t>resoriskās</w:t>
      </w:r>
      <w:proofErr w:type="spellEnd"/>
      <w:r w:rsidRPr="00AA69A6">
        <w:rPr>
          <w:rFonts w:ascii="Times New Roman" w:hAnsi="Times New Roman"/>
          <w:sz w:val="24"/>
          <w:szCs w:val="24"/>
        </w:rPr>
        <w:t xml:space="preserve"> pārbaudes un kriminālprocesus, kā arī sniedz palīdzību ārvalstīm procesuālo darbību veikšanā, ja t</w:t>
      </w:r>
      <w:r w:rsidR="00D32C37">
        <w:rPr>
          <w:rFonts w:ascii="Times New Roman" w:hAnsi="Times New Roman"/>
          <w:sz w:val="24"/>
          <w:szCs w:val="24"/>
        </w:rPr>
        <w:t>ās ir saistītas</w:t>
      </w:r>
      <w:r w:rsidRPr="00AA69A6">
        <w:rPr>
          <w:rFonts w:ascii="Times New Roman" w:hAnsi="Times New Roman"/>
          <w:sz w:val="24"/>
          <w:szCs w:val="24"/>
        </w:rPr>
        <w:t xml:space="preserve"> ar korupcijas izmeklēšanu.</w:t>
      </w:r>
    </w:p>
    <w:p w:rsidR="005C7C99" w:rsidRPr="00C41916" w:rsidRDefault="005C7C99" w:rsidP="006C79D7">
      <w:pPr>
        <w:pStyle w:val="Default"/>
        <w:spacing w:line="276" w:lineRule="auto"/>
        <w:ind w:firstLine="709"/>
        <w:rPr>
          <w:b/>
          <w:bCs/>
          <w:color w:val="auto"/>
        </w:rPr>
      </w:pPr>
    </w:p>
    <w:p w:rsidR="005C7C99" w:rsidRPr="00C41916" w:rsidRDefault="005C7C99" w:rsidP="006C79D7">
      <w:pPr>
        <w:pStyle w:val="Default"/>
        <w:spacing w:line="276" w:lineRule="auto"/>
        <w:ind w:firstLine="709"/>
        <w:rPr>
          <w:b/>
          <w:bCs/>
          <w:color w:val="auto"/>
        </w:rPr>
      </w:pPr>
      <w:r w:rsidRPr="00C41916">
        <w:rPr>
          <w:b/>
          <w:bCs/>
          <w:color w:val="auto"/>
        </w:rPr>
        <w:t xml:space="preserve">Politisko organizāciju (partiju) finanšu un priekšvēlēšanu aģitācijas kontrole </w:t>
      </w:r>
    </w:p>
    <w:p w:rsidR="005C7C99" w:rsidRPr="00C41916" w:rsidRDefault="005C7C99" w:rsidP="006C79D7">
      <w:pPr>
        <w:spacing w:after="0"/>
        <w:ind w:firstLine="709"/>
        <w:jc w:val="both"/>
        <w:rPr>
          <w:rFonts w:ascii="Times New Roman" w:hAnsi="Times New Roman"/>
          <w:sz w:val="24"/>
          <w:szCs w:val="24"/>
        </w:rPr>
      </w:pPr>
      <w:r w:rsidRPr="00C41916">
        <w:rPr>
          <w:rFonts w:ascii="Times New Roman" w:hAnsi="Times New Roman"/>
          <w:sz w:val="24"/>
          <w:szCs w:val="24"/>
        </w:rPr>
        <w:t>Birojs kontrolē politisko organizāciju</w:t>
      </w:r>
      <w:r>
        <w:rPr>
          <w:rFonts w:ascii="Times New Roman" w:hAnsi="Times New Roman"/>
          <w:sz w:val="24"/>
          <w:szCs w:val="24"/>
        </w:rPr>
        <w:t xml:space="preserve"> </w:t>
      </w:r>
      <w:r w:rsidRPr="00C41916">
        <w:rPr>
          <w:rFonts w:ascii="Times New Roman" w:hAnsi="Times New Roman"/>
          <w:sz w:val="24"/>
          <w:szCs w:val="24"/>
        </w:rPr>
        <w:t xml:space="preserve">(partiju) un to apvienību finansēšanas noteikumu izpildi un </w:t>
      </w:r>
      <w:r>
        <w:rPr>
          <w:rFonts w:ascii="Times New Roman" w:hAnsi="Times New Roman"/>
          <w:sz w:val="24"/>
          <w:szCs w:val="24"/>
        </w:rPr>
        <w:t xml:space="preserve">normatīvajā aktā </w:t>
      </w:r>
      <w:r w:rsidRPr="00C41916">
        <w:rPr>
          <w:rFonts w:ascii="Times New Roman" w:hAnsi="Times New Roman"/>
          <w:sz w:val="24"/>
          <w:szCs w:val="24"/>
        </w:rPr>
        <w:t>noteiktajos gadījumos sauc vainīgās personas pie administratīvās atbildības, piemērojot sodu. Birojs apkopo un analizē sagatavoto informāciju par partiju iesniegtajiem gada pārskatiem, konstatētajiem pār</w:t>
      </w:r>
      <w:r>
        <w:rPr>
          <w:rFonts w:ascii="Times New Roman" w:hAnsi="Times New Roman"/>
          <w:sz w:val="24"/>
          <w:szCs w:val="24"/>
        </w:rPr>
        <w:t>kāpumiem to iesniegšanā un par normatīvajā aktā</w:t>
      </w:r>
      <w:r w:rsidRPr="00C41916">
        <w:rPr>
          <w:rFonts w:ascii="Times New Roman" w:hAnsi="Times New Roman"/>
          <w:sz w:val="24"/>
          <w:szCs w:val="24"/>
        </w:rPr>
        <w:t xml:space="preserve"> noteikto ierobežojumu neievērošanu. Ne vēlāk kā pusgadu pēc vēlēšanu </w:t>
      </w:r>
      <w:r w:rsidRPr="00C41916">
        <w:rPr>
          <w:rFonts w:ascii="Times New Roman" w:hAnsi="Times New Roman"/>
          <w:sz w:val="24"/>
          <w:szCs w:val="24"/>
        </w:rPr>
        <w:lastRenderedPageBreak/>
        <w:t>deklarāciju saņemšanas un ne retāk kā reizi gadā Birojs informē sabiedrību par atklātajiem politisko organizāciju un to apvienību finansēšanas noteikumu pārkāpumiem, kā arī par veiktajiem pasākumiem to novēršanai. Pirms Saeimas, Eiropas Parlamenta un pašvaldību vēlēšanām atbilstoši savai kompetencei Birojs kontrolē priekšvēlēšanu aģitācijas ierobežojumu ievērošanu un apmaksas kārtības ievērošanu, savukārt pēc vēlēšanām veic politisko organizāciju (partiju) un to apvienību iesniegto vēlēšanu ieņēmumu un izdevumu deklarāciju pārbaudi un sešu mēnešu laikā pēc to iesniegšanas informē sabiedrību par atklātajiem priekšvēlēšanu aģitācijas noteikumu pārkāpumiem un pasākumiem to novēršanai.</w:t>
      </w:r>
    </w:p>
    <w:p w:rsidR="005C7C99" w:rsidRPr="00C41916" w:rsidRDefault="005C7C99" w:rsidP="006C79D7">
      <w:pPr>
        <w:pStyle w:val="Default"/>
        <w:spacing w:line="276" w:lineRule="auto"/>
        <w:ind w:firstLine="709"/>
        <w:rPr>
          <w:b/>
          <w:bCs/>
          <w:color w:val="auto"/>
        </w:rPr>
      </w:pPr>
    </w:p>
    <w:p w:rsidR="005C7C99" w:rsidRPr="00C41916" w:rsidRDefault="005C7C99" w:rsidP="006C79D7">
      <w:pPr>
        <w:pStyle w:val="Default"/>
        <w:spacing w:line="276" w:lineRule="auto"/>
        <w:ind w:firstLine="709"/>
        <w:rPr>
          <w:color w:val="auto"/>
        </w:rPr>
      </w:pPr>
      <w:r w:rsidRPr="00C41916">
        <w:rPr>
          <w:b/>
          <w:bCs/>
          <w:color w:val="auto"/>
        </w:rPr>
        <w:t>Korupcijas risku novēršana un sabiedrības izglītošana</w:t>
      </w:r>
    </w:p>
    <w:p w:rsidR="005C7C99" w:rsidRPr="00C41916" w:rsidRDefault="005C7C99" w:rsidP="006C79D7">
      <w:pPr>
        <w:pStyle w:val="Default"/>
        <w:spacing w:line="276" w:lineRule="auto"/>
        <w:ind w:firstLine="709"/>
        <w:jc w:val="both"/>
        <w:rPr>
          <w:color w:val="auto"/>
        </w:rPr>
      </w:pPr>
      <w:r w:rsidRPr="00C41916">
        <w:rPr>
          <w:color w:val="auto"/>
        </w:rPr>
        <w:t xml:space="preserve">Korupcijas novēršanas jomā Birojs izstrādā </w:t>
      </w:r>
      <w:r w:rsidR="00753B0E">
        <w:rPr>
          <w:color w:val="auto"/>
        </w:rPr>
        <w:t>Pamatnostādnes</w:t>
      </w:r>
      <w:r w:rsidRPr="00C41916">
        <w:rPr>
          <w:color w:val="auto"/>
        </w:rPr>
        <w:t xml:space="preserve"> un Biroja darbīb</w:t>
      </w:r>
      <w:r w:rsidR="001051DF">
        <w:rPr>
          <w:color w:val="auto"/>
        </w:rPr>
        <w:t>as stratēģiju, kā arī koordinē P</w:t>
      </w:r>
      <w:r w:rsidRPr="00C41916">
        <w:rPr>
          <w:color w:val="auto"/>
        </w:rPr>
        <w:t xml:space="preserve">amatnostādnēs minēto institūciju sadarbību, lai nodrošinātu izvirzīto mērķu sasniegšanu. Birojs analizē normatīvos aktus un normatīvo aktu projektus, kā arī ierosina izdarīt tajos grozījumus vai iesniedz priekšlikumus jaunu normatīvo aktu projektu izstrādāšanai, lai mazinātu un novērstu korupcijas riskus. Birojs analizē arī citu valsts iestāžu praksi korupcijas novēršanā, sniedz savus priekšlikumus konstatēto trūkumu novēršanai un izstrādā metodiskos līdzekļus korupcijas novēršanai un apkarošanai valsts un pašvaldību iestādēs, un privātajā sektorā. </w:t>
      </w:r>
    </w:p>
    <w:p w:rsidR="005C7C99" w:rsidRDefault="005C7C99" w:rsidP="009060F2">
      <w:pPr>
        <w:spacing w:after="0"/>
        <w:ind w:firstLine="709"/>
        <w:jc w:val="both"/>
        <w:rPr>
          <w:rFonts w:ascii="Times New Roman" w:hAnsi="Times New Roman" w:cs="Times New Roman"/>
          <w:sz w:val="24"/>
          <w:szCs w:val="24"/>
        </w:rPr>
      </w:pPr>
      <w:r w:rsidRPr="00C41916">
        <w:rPr>
          <w:rFonts w:ascii="Times New Roman" w:hAnsi="Times New Roman"/>
          <w:sz w:val="24"/>
          <w:szCs w:val="24"/>
        </w:rPr>
        <w:t xml:space="preserve">Lai sabiedrībai atklātu korupcijas radīto kaitējumu un iesaistītu iedzīvotājus pretkorupcijas pasākumu īstenošanā, Birojs informē un izglīto sabiedrību par korupcijas </w:t>
      </w:r>
      <w:r>
        <w:rPr>
          <w:rFonts w:ascii="Times New Roman" w:hAnsi="Times New Roman"/>
          <w:sz w:val="24"/>
          <w:szCs w:val="24"/>
        </w:rPr>
        <w:t>izplatī</w:t>
      </w:r>
      <w:r w:rsidRPr="00C41916">
        <w:rPr>
          <w:rFonts w:ascii="Times New Roman" w:hAnsi="Times New Roman"/>
          <w:sz w:val="24"/>
          <w:szCs w:val="24"/>
        </w:rPr>
        <w:t xml:space="preserve">bas tendencēm un atklātajiem korupcijas gadījumiem, kā arī par veiktajiem pasākumiem </w:t>
      </w:r>
      <w:r w:rsidRPr="00C41916">
        <w:rPr>
          <w:rFonts w:ascii="Times New Roman" w:hAnsi="Times New Roman" w:cs="Times New Roman"/>
          <w:sz w:val="24"/>
          <w:szCs w:val="24"/>
        </w:rPr>
        <w:t>kor</w:t>
      </w:r>
      <w:r>
        <w:rPr>
          <w:rFonts w:ascii="Times New Roman" w:hAnsi="Times New Roman" w:cs="Times New Roman"/>
          <w:sz w:val="24"/>
          <w:szCs w:val="24"/>
        </w:rPr>
        <w:t>upcijas novēršanā un apkarošanā. Birojs</w:t>
      </w:r>
      <w:r w:rsidRPr="00C41916">
        <w:rPr>
          <w:rFonts w:ascii="Times New Roman" w:hAnsi="Times New Roman" w:cs="Times New Roman"/>
          <w:sz w:val="24"/>
          <w:szCs w:val="24"/>
        </w:rPr>
        <w:t xml:space="preserve"> izstrādā un ievieš sabiedrisko attiecību stratēģiju, izglīto sabiedrību tiesību un ētikas jomā, </w:t>
      </w:r>
      <w:r>
        <w:rPr>
          <w:rFonts w:ascii="Times New Roman" w:hAnsi="Times New Roman" w:cs="Times New Roman"/>
          <w:sz w:val="24"/>
          <w:szCs w:val="24"/>
        </w:rPr>
        <w:t xml:space="preserve">kā arī </w:t>
      </w:r>
      <w:r w:rsidRPr="00C41916">
        <w:rPr>
          <w:rFonts w:ascii="Times New Roman" w:hAnsi="Times New Roman" w:cs="Times New Roman"/>
          <w:sz w:val="24"/>
          <w:szCs w:val="24"/>
        </w:rPr>
        <w:t>veic sabiedriskās domas izpēti un analīzi.</w:t>
      </w:r>
    </w:p>
    <w:p w:rsidR="00E42E34" w:rsidRPr="002F188D" w:rsidRDefault="00E42E34" w:rsidP="009060F2">
      <w:pPr>
        <w:pStyle w:val="Heading1"/>
        <w:spacing w:before="0" w:line="276" w:lineRule="auto"/>
        <w:jc w:val="center"/>
        <w:rPr>
          <w:sz w:val="24"/>
          <w:szCs w:val="24"/>
        </w:rPr>
      </w:pPr>
      <w:bookmarkStart w:id="18" w:name="_Toc474219913"/>
      <w:bookmarkStart w:id="19" w:name="_Toc474220917"/>
      <w:bookmarkStart w:id="20" w:name="_Toc474410926"/>
    </w:p>
    <w:p w:rsidR="005C7C99" w:rsidRPr="009060F2" w:rsidRDefault="00AA69A6" w:rsidP="009060F2">
      <w:pPr>
        <w:pStyle w:val="Heading3"/>
        <w:spacing w:before="0" w:after="0" w:line="276" w:lineRule="auto"/>
        <w:jc w:val="center"/>
        <w:rPr>
          <w:rFonts w:ascii="Times New Roman" w:hAnsi="Times New Roman"/>
          <w:sz w:val="28"/>
          <w:szCs w:val="28"/>
        </w:rPr>
      </w:pPr>
      <w:bookmarkStart w:id="21" w:name="_Toc505249164"/>
      <w:r w:rsidRPr="009060F2">
        <w:rPr>
          <w:rFonts w:ascii="Times New Roman" w:hAnsi="Times New Roman"/>
          <w:sz w:val="28"/>
          <w:szCs w:val="28"/>
        </w:rPr>
        <w:t>1.2. </w:t>
      </w:r>
      <w:r w:rsidR="005C7C99" w:rsidRPr="009060F2">
        <w:rPr>
          <w:rFonts w:ascii="Times New Roman" w:hAnsi="Times New Roman"/>
          <w:sz w:val="28"/>
          <w:szCs w:val="28"/>
        </w:rPr>
        <w:t>Sabiedrības līdzdalība</w:t>
      </w:r>
      <w:bookmarkEnd w:id="18"/>
      <w:bookmarkEnd w:id="19"/>
      <w:bookmarkEnd w:id="20"/>
      <w:bookmarkEnd w:id="21"/>
    </w:p>
    <w:p w:rsidR="005C7C99" w:rsidRDefault="005C7C99" w:rsidP="009060F2">
      <w:pPr>
        <w:pStyle w:val="Default"/>
        <w:spacing w:line="276" w:lineRule="auto"/>
        <w:ind w:firstLine="567"/>
        <w:jc w:val="both"/>
        <w:rPr>
          <w:b/>
          <w:color w:val="auto"/>
        </w:rPr>
      </w:pPr>
    </w:p>
    <w:p w:rsidR="005C7C99" w:rsidRPr="00C41916" w:rsidRDefault="005C7C99" w:rsidP="009060F2">
      <w:pPr>
        <w:pStyle w:val="Default"/>
        <w:spacing w:line="276" w:lineRule="auto"/>
        <w:ind w:firstLine="709"/>
        <w:jc w:val="both"/>
        <w:rPr>
          <w:b/>
          <w:color w:val="auto"/>
        </w:rPr>
      </w:pPr>
      <w:r w:rsidRPr="00C41916">
        <w:rPr>
          <w:b/>
          <w:color w:val="auto"/>
        </w:rPr>
        <w:t>Saņemto zvanu un iesniegumu skaits</w:t>
      </w:r>
    </w:p>
    <w:p w:rsidR="00847D82" w:rsidRDefault="005C7C99" w:rsidP="009060F2">
      <w:pPr>
        <w:pStyle w:val="Default"/>
        <w:spacing w:line="276" w:lineRule="auto"/>
        <w:ind w:firstLine="709"/>
        <w:jc w:val="both"/>
        <w:rPr>
          <w:color w:val="auto"/>
        </w:rPr>
      </w:pPr>
      <w:r w:rsidRPr="00C41916">
        <w:rPr>
          <w:color w:val="auto"/>
        </w:rPr>
        <w:t>Pārskata periodā Biroja lietvedībā kopā saņemti</w:t>
      </w:r>
      <w:r w:rsidR="00724A3E">
        <w:rPr>
          <w:color w:val="auto"/>
        </w:rPr>
        <w:t xml:space="preserve"> 1434 </w:t>
      </w:r>
      <w:r w:rsidR="00261D2E">
        <w:rPr>
          <w:color w:val="auto"/>
        </w:rPr>
        <w:t>privātpersonu</w:t>
      </w:r>
      <w:r w:rsidR="00724A3E">
        <w:rPr>
          <w:color w:val="auto"/>
        </w:rPr>
        <w:t xml:space="preserve"> iesniegumi</w:t>
      </w:r>
      <w:r w:rsidR="00847D82">
        <w:rPr>
          <w:color w:val="auto"/>
        </w:rPr>
        <w:t>,</w:t>
      </w:r>
      <w:r w:rsidR="00724A3E">
        <w:rPr>
          <w:color w:val="auto"/>
        </w:rPr>
        <w:t xml:space="preserve"> no kuriem 1178 iesniegumi ir no fiziskām personām (tajā skaitā anonīmi) un 256 iesniegumi no juridiskām personām,</w:t>
      </w:r>
      <w:r w:rsidR="00847D82">
        <w:rPr>
          <w:color w:val="auto"/>
        </w:rPr>
        <w:t xml:space="preserve"> kas ir par </w:t>
      </w:r>
      <w:r w:rsidR="00724A3E">
        <w:rPr>
          <w:color w:val="auto"/>
        </w:rPr>
        <w:t xml:space="preserve">20% vairāk nekā 2016.gadā, kad </w:t>
      </w:r>
      <w:r w:rsidR="007B27B6">
        <w:rPr>
          <w:color w:val="auto"/>
        </w:rPr>
        <w:t>Birojs saņēma</w:t>
      </w:r>
      <w:r w:rsidR="00724A3E">
        <w:rPr>
          <w:color w:val="auto"/>
        </w:rPr>
        <w:t xml:space="preserve"> 1175 </w:t>
      </w:r>
      <w:r w:rsidR="00261D2E">
        <w:rPr>
          <w:color w:val="auto"/>
        </w:rPr>
        <w:t xml:space="preserve">privātpersonu </w:t>
      </w:r>
      <w:r w:rsidR="007B27B6">
        <w:rPr>
          <w:color w:val="auto"/>
        </w:rPr>
        <w:t>iesniegumus</w:t>
      </w:r>
      <w:r w:rsidR="00724A3E">
        <w:rPr>
          <w:color w:val="auto"/>
        </w:rPr>
        <w:t xml:space="preserve">. Biroja Ziņojumu centrā 2017.gadā ir pieņemti un uzklausīti 83 apmeklētāji. </w:t>
      </w:r>
      <w:r w:rsidR="00724A3E" w:rsidRPr="00C41916">
        <w:rPr>
          <w:color w:val="auto"/>
        </w:rPr>
        <w:t>Birojā saņemto iesniegumu un pieņemto apmeklētāju skaits atspoguļots 1.attēlā.</w:t>
      </w:r>
    </w:p>
    <w:p w:rsidR="005C7C99" w:rsidRPr="00C41916" w:rsidRDefault="00724A3E" w:rsidP="006C79D7">
      <w:pPr>
        <w:pStyle w:val="NoSpacing"/>
        <w:spacing w:before="240" w:line="276" w:lineRule="auto"/>
        <w:jc w:val="center"/>
        <w:rPr>
          <w:rFonts w:ascii="Times New Roman" w:hAnsi="Times New Roman" w:cs="Times New Roman"/>
          <w:b/>
          <w:sz w:val="24"/>
          <w:szCs w:val="24"/>
        </w:rPr>
      </w:pPr>
      <w:r>
        <w:rPr>
          <w:noProof/>
          <w:lang w:eastAsia="lv-LV"/>
        </w:rPr>
        <w:drawing>
          <wp:inline distT="0" distB="0" distL="0" distR="0" wp14:anchorId="4EE84BEA" wp14:editId="40B540A0">
            <wp:extent cx="5072932" cy="2075291"/>
            <wp:effectExtent l="0" t="0" r="13970"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7C99" w:rsidRPr="00C41916" w:rsidRDefault="005C7C99" w:rsidP="006C79D7">
      <w:pPr>
        <w:pStyle w:val="NormalWeb"/>
        <w:spacing w:before="0" w:beforeAutospacing="0" w:after="0" w:afterAutospacing="0" w:line="276" w:lineRule="auto"/>
        <w:ind w:firstLine="567"/>
        <w:jc w:val="center"/>
        <w:rPr>
          <w:i/>
          <w:lang w:val="lv-LV"/>
        </w:rPr>
      </w:pPr>
      <w:bookmarkStart w:id="22" w:name="_Toc282617329"/>
      <w:r w:rsidRPr="00C41916">
        <w:rPr>
          <w:i/>
          <w:lang w:val="lv-LV"/>
        </w:rPr>
        <w:t>1.attēls. Saņemtie iesn</w:t>
      </w:r>
      <w:r w:rsidR="00E42E34">
        <w:rPr>
          <w:i/>
          <w:lang w:val="lv-LV"/>
        </w:rPr>
        <w:t>iegumi un pieņemtie apmeklētāji</w:t>
      </w:r>
    </w:p>
    <w:p w:rsidR="00724A3E" w:rsidRDefault="005C7C99" w:rsidP="006C79D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Biroja Ziņojumu centrā uz tālruņu numur</w:t>
      </w:r>
      <w:r w:rsidR="00724A3E">
        <w:rPr>
          <w:rFonts w:ascii="Times New Roman" w:hAnsi="Times New Roman" w:cs="Times New Roman"/>
          <w:color w:val="000000"/>
          <w:sz w:val="24"/>
          <w:szCs w:val="24"/>
        </w:rPr>
        <w:t xml:space="preserve">u 67356161 </w:t>
      </w:r>
      <w:r>
        <w:rPr>
          <w:rFonts w:ascii="Times New Roman" w:hAnsi="Times New Roman" w:cs="Times New Roman"/>
          <w:color w:val="000000"/>
          <w:sz w:val="24"/>
          <w:szCs w:val="24"/>
        </w:rPr>
        <w:t>un bezmaksas uzticības tālruni 8000207</w:t>
      </w:r>
      <w:r w:rsidR="00724A3E">
        <w:rPr>
          <w:rFonts w:ascii="Times New Roman" w:hAnsi="Times New Roman" w:cs="Times New Roman"/>
          <w:color w:val="000000"/>
          <w:sz w:val="24"/>
          <w:szCs w:val="24"/>
        </w:rPr>
        <w:t>0</w:t>
      </w:r>
      <w:r w:rsidR="007B27B6">
        <w:rPr>
          <w:rFonts w:ascii="Times New Roman" w:hAnsi="Times New Roman" w:cs="Times New Roman"/>
          <w:color w:val="000000"/>
          <w:sz w:val="24"/>
          <w:szCs w:val="24"/>
        </w:rPr>
        <w:t xml:space="preserve"> pārskata gadā kopā </w:t>
      </w:r>
      <w:r>
        <w:rPr>
          <w:rFonts w:ascii="Times New Roman" w:hAnsi="Times New Roman" w:cs="Times New Roman"/>
          <w:color w:val="000000"/>
          <w:sz w:val="24"/>
          <w:szCs w:val="24"/>
        </w:rPr>
        <w:t xml:space="preserve">saņemti </w:t>
      </w:r>
      <w:r w:rsidR="00724A3E" w:rsidRPr="00724A3E">
        <w:rPr>
          <w:rFonts w:ascii="Times New Roman" w:hAnsi="Times New Roman" w:cs="Times New Roman"/>
          <w:color w:val="000000"/>
          <w:sz w:val="24"/>
          <w:szCs w:val="24"/>
        </w:rPr>
        <w:t>3653</w:t>
      </w:r>
      <w:r w:rsidR="00F338BF">
        <w:rPr>
          <w:rFonts w:ascii="Times New Roman" w:hAnsi="Times New Roman" w:cs="Times New Roman"/>
          <w:color w:val="000000"/>
          <w:sz w:val="24"/>
          <w:szCs w:val="24"/>
        </w:rPr>
        <w:t xml:space="preserve"> zvani</w:t>
      </w:r>
      <w:r w:rsidR="00B51015">
        <w:rPr>
          <w:rFonts w:ascii="Times New Roman" w:hAnsi="Times New Roman" w:cs="Times New Roman"/>
          <w:color w:val="000000"/>
          <w:sz w:val="24"/>
          <w:szCs w:val="24"/>
        </w:rPr>
        <w:t>, tajā skaitā uz uzticības tālruni</w:t>
      </w:r>
      <w:r w:rsidR="005A15F6">
        <w:rPr>
          <w:rFonts w:ascii="Times New Roman" w:hAnsi="Times New Roman" w:cs="Times New Roman"/>
          <w:color w:val="000000"/>
          <w:sz w:val="24"/>
          <w:szCs w:val="24"/>
        </w:rPr>
        <w:t xml:space="preserve"> saņemti 1205 zvani</w:t>
      </w:r>
      <w:r w:rsidR="00B51015">
        <w:rPr>
          <w:rFonts w:ascii="Times New Roman" w:hAnsi="Times New Roman" w:cs="Times New Roman"/>
          <w:color w:val="000000"/>
          <w:sz w:val="24"/>
          <w:szCs w:val="24"/>
        </w:rPr>
        <w:t>. 2017.gadā, zvanot uz anonīmo uzticības tālruņa numuru 80002070, iedzīvotāji visbiežāk informēja par iesp</w:t>
      </w:r>
      <w:r w:rsidR="005A15F6">
        <w:rPr>
          <w:rFonts w:ascii="Times New Roman" w:hAnsi="Times New Roman" w:cs="Times New Roman"/>
          <w:color w:val="000000"/>
          <w:sz w:val="24"/>
          <w:szCs w:val="24"/>
        </w:rPr>
        <w:t>ējam</w:t>
      </w:r>
      <w:r w:rsidR="00B51015">
        <w:rPr>
          <w:rFonts w:ascii="Times New Roman" w:hAnsi="Times New Roman" w:cs="Times New Roman"/>
          <w:color w:val="000000"/>
          <w:sz w:val="24"/>
          <w:szCs w:val="24"/>
        </w:rPr>
        <w:t>iem pārkāpumiem izmeklētāju, prokuroru, tiesnešu, policijas</w:t>
      </w:r>
      <w:r w:rsidR="00261D2E">
        <w:rPr>
          <w:rFonts w:ascii="Times New Roman" w:hAnsi="Times New Roman" w:cs="Times New Roman"/>
          <w:color w:val="000000"/>
          <w:sz w:val="24"/>
          <w:szCs w:val="24"/>
        </w:rPr>
        <w:t xml:space="preserve"> amatpersonu</w:t>
      </w:r>
      <w:r w:rsidR="00B51015">
        <w:rPr>
          <w:rFonts w:ascii="Times New Roman" w:hAnsi="Times New Roman" w:cs="Times New Roman"/>
          <w:color w:val="000000"/>
          <w:sz w:val="24"/>
          <w:szCs w:val="24"/>
        </w:rPr>
        <w:t>, zvērinātu tiesu izpildītāju, notāru, maksātnespējas administratoru, namu apsaimniekotāju, ieslodzījuma vietu p</w:t>
      </w:r>
      <w:r w:rsidR="005A15F6">
        <w:rPr>
          <w:rFonts w:ascii="Times New Roman" w:hAnsi="Times New Roman" w:cs="Times New Roman"/>
          <w:color w:val="000000"/>
          <w:sz w:val="24"/>
          <w:szCs w:val="24"/>
        </w:rPr>
        <w:t xml:space="preserve">ārvaldes, bāriņtiesu </w:t>
      </w:r>
      <w:r w:rsidR="00B51015">
        <w:rPr>
          <w:rFonts w:ascii="Times New Roman" w:hAnsi="Times New Roman" w:cs="Times New Roman"/>
          <w:color w:val="000000"/>
          <w:sz w:val="24"/>
          <w:szCs w:val="24"/>
        </w:rPr>
        <w:t xml:space="preserve">un pašvaldību amatpersonu darbībā, tāpat iedzīvotāji ziņoja par iespējamiem pārkāpumiem kooperatīvu, biedrību un </w:t>
      </w:r>
      <w:r w:rsidR="005B286E">
        <w:rPr>
          <w:rFonts w:ascii="Times New Roman" w:hAnsi="Times New Roman" w:cs="Times New Roman"/>
          <w:color w:val="000000"/>
          <w:sz w:val="24"/>
          <w:szCs w:val="24"/>
        </w:rPr>
        <w:t>privāto kapitālsabiedrību rīcībā.</w:t>
      </w:r>
      <w:r w:rsidR="005A15F6">
        <w:rPr>
          <w:rFonts w:ascii="Times New Roman" w:hAnsi="Times New Roman" w:cs="Times New Roman"/>
          <w:color w:val="000000"/>
          <w:sz w:val="24"/>
          <w:szCs w:val="24"/>
        </w:rPr>
        <w:t xml:space="preserve"> </w:t>
      </w:r>
    </w:p>
    <w:p w:rsidR="00B51015" w:rsidRDefault="00B51015" w:rsidP="006C79D7">
      <w:pPr>
        <w:autoSpaceDE w:val="0"/>
        <w:autoSpaceDN w:val="0"/>
        <w:adjustRightInd w:val="0"/>
        <w:spacing w:after="0"/>
        <w:ind w:firstLine="567"/>
        <w:jc w:val="both"/>
        <w:rPr>
          <w:rFonts w:ascii="Times New Roman" w:hAnsi="Times New Roman" w:cs="Times New Roman"/>
          <w:color w:val="000000"/>
          <w:sz w:val="24"/>
          <w:szCs w:val="24"/>
        </w:rPr>
      </w:pPr>
    </w:p>
    <w:p w:rsidR="005C7C99" w:rsidRPr="007D601C" w:rsidRDefault="005C7C99" w:rsidP="006C79D7">
      <w:pPr>
        <w:spacing w:after="0"/>
        <w:ind w:firstLine="709"/>
        <w:rPr>
          <w:rFonts w:ascii="Times New Roman" w:hAnsi="Times New Roman" w:cs="Times New Roman"/>
          <w:b/>
          <w:sz w:val="24"/>
          <w:szCs w:val="24"/>
        </w:rPr>
      </w:pPr>
      <w:bookmarkStart w:id="23" w:name="_Toc474219914"/>
      <w:bookmarkStart w:id="24" w:name="_Toc474220918"/>
      <w:r w:rsidRPr="007D601C">
        <w:rPr>
          <w:rFonts w:ascii="Times New Roman" w:hAnsi="Times New Roman" w:cs="Times New Roman"/>
          <w:b/>
          <w:sz w:val="24"/>
          <w:szCs w:val="24"/>
        </w:rPr>
        <w:t>Sabiedriskās konsultatīvās padomes darbība</w:t>
      </w:r>
      <w:bookmarkEnd w:id="23"/>
      <w:bookmarkEnd w:id="24"/>
    </w:p>
    <w:p w:rsidR="00524A19" w:rsidRDefault="005C7C99" w:rsidP="006C79D7">
      <w:pPr>
        <w:spacing w:after="0"/>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Pr="00DC64F9">
        <w:rPr>
          <w:rFonts w:ascii="Times New Roman" w:eastAsia="Times New Roman" w:hAnsi="Times New Roman" w:cs="Times New Roman"/>
          <w:sz w:val="24"/>
          <w:szCs w:val="24"/>
          <w:lang w:eastAsia="lv-LV"/>
        </w:rPr>
        <w:t xml:space="preserve">iroja Sabiedriskā konsultatīvā padome </w:t>
      </w:r>
      <w:r>
        <w:rPr>
          <w:rFonts w:ascii="Times New Roman" w:eastAsia="Times New Roman" w:hAnsi="Times New Roman" w:cs="Times New Roman"/>
          <w:sz w:val="24"/>
          <w:szCs w:val="24"/>
          <w:lang w:eastAsia="lv-LV"/>
        </w:rPr>
        <w:t xml:space="preserve">(turpmāk – Padome) ir </w:t>
      </w:r>
      <w:r w:rsidRPr="00DC64F9">
        <w:rPr>
          <w:rFonts w:ascii="Times New Roman" w:eastAsia="Times New Roman" w:hAnsi="Times New Roman" w:cs="Times New Roman"/>
          <w:sz w:val="24"/>
          <w:szCs w:val="24"/>
          <w:lang w:eastAsia="lv-LV"/>
        </w:rPr>
        <w:t>izveidota, lai nodrošinātu sabiedrības pārstāvju līdzdalību korupcijas novēršanas politikas veidošanā, īstenošanā un sabiedrības izglītošanā. Padomes uzdevums ir veicināt B</w:t>
      </w:r>
      <w:r>
        <w:rPr>
          <w:rFonts w:ascii="Times New Roman" w:eastAsia="Times New Roman" w:hAnsi="Times New Roman" w:cs="Times New Roman"/>
          <w:sz w:val="24"/>
          <w:szCs w:val="24"/>
          <w:lang w:eastAsia="lv-LV"/>
        </w:rPr>
        <w:t>iroja</w:t>
      </w:r>
      <w:r w:rsidRPr="00DC64F9">
        <w:rPr>
          <w:rFonts w:ascii="Times New Roman" w:eastAsia="Times New Roman" w:hAnsi="Times New Roman" w:cs="Times New Roman"/>
          <w:sz w:val="24"/>
          <w:szCs w:val="24"/>
          <w:lang w:eastAsia="lv-LV"/>
        </w:rPr>
        <w:t xml:space="preserve"> saikni ar sabiedrību, sniedzot rekomendācijas </w:t>
      </w:r>
      <w:r>
        <w:rPr>
          <w:rFonts w:ascii="Times New Roman" w:eastAsia="Times New Roman" w:hAnsi="Times New Roman" w:cs="Times New Roman"/>
          <w:sz w:val="24"/>
          <w:szCs w:val="24"/>
          <w:lang w:eastAsia="lv-LV"/>
        </w:rPr>
        <w:t>B</w:t>
      </w:r>
      <w:r w:rsidRPr="00DC64F9">
        <w:rPr>
          <w:rFonts w:ascii="Times New Roman" w:eastAsia="Times New Roman" w:hAnsi="Times New Roman" w:cs="Times New Roman"/>
          <w:sz w:val="24"/>
          <w:szCs w:val="24"/>
          <w:lang w:eastAsia="lv-LV"/>
        </w:rPr>
        <w:t>irojam par aktuāl</w:t>
      </w:r>
      <w:r w:rsidR="002F188D">
        <w:rPr>
          <w:rFonts w:ascii="Times New Roman" w:eastAsia="Times New Roman" w:hAnsi="Times New Roman" w:cs="Times New Roman"/>
          <w:sz w:val="24"/>
          <w:szCs w:val="24"/>
          <w:lang w:eastAsia="lv-LV"/>
        </w:rPr>
        <w:t>aj</w:t>
      </w:r>
      <w:r w:rsidRPr="00DC64F9">
        <w:rPr>
          <w:rFonts w:ascii="Times New Roman" w:eastAsia="Times New Roman" w:hAnsi="Times New Roman" w:cs="Times New Roman"/>
          <w:sz w:val="24"/>
          <w:szCs w:val="24"/>
          <w:lang w:eastAsia="lv-LV"/>
        </w:rPr>
        <w:t>iem jautājumiem.</w:t>
      </w:r>
    </w:p>
    <w:p w:rsidR="00D6174E" w:rsidRPr="00D6174E" w:rsidRDefault="005C7C99" w:rsidP="006C79D7">
      <w:pPr>
        <w:spacing w:after="0"/>
        <w:ind w:firstLine="709"/>
        <w:jc w:val="both"/>
        <w:rPr>
          <w:rFonts w:ascii="Times New Roman" w:eastAsia="Times New Roman" w:hAnsi="Times New Roman" w:cs="Times New Roman"/>
          <w:sz w:val="24"/>
          <w:szCs w:val="24"/>
          <w:lang w:eastAsia="lv-LV"/>
        </w:rPr>
      </w:pPr>
      <w:r w:rsidRPr="00524A19">
        <w:rPr>
          <w:rFonts w:ascii="Times New Roman" w:eastAsia="Times New Roman" w:hAnsi="Times New Roman" w:cs="Times New Roman"/>
          <w:sz w:val="24"/>
          <w:szCs w:val="24"/>
          <w:lang w:eastAsia="lv-LV"/>
        </w:rPr>
        <w:t>Padome 201</w:t>
      </w:r>
      <w:r w:rsidR="00524A19" w:rsidRPr="00524A19">
        <w:rPr>
          <w:rFonts w:ascii="Times New Roman" w:eastAsia="Times New Roman" w:hAnsi="Times New Roman" w:cs="Times New Roman"/>
          <w:sz w:val="24"/>
          <w:szCs w:val="24"/>
          <w:lang w:eastAsia="lv-LV"/>
        </w:rPr>
        <w:t>7</w:t>
      </w:r>
      <w:r w:rsidRPr="00524A19">
        <w:rPr>
          <w:rFonts w:ascii="Times New Roman" w:eastAsia="Times New Roman" w:hAnsi="Times New Roman" w:cs="Times New Roman"/>
          <w:sz w:val="24"/>
          <w:szCs w:val="24"/>
          <w:lang w:eastAsia="lv-LV"/>
        </w:rPr>
        <w:t>.gadā sanāca uz trim sēdēm, kuru darba kārtībā bija virkne Biroja darbam nozīmīgu jautājumu, t</w:t>
      </w:r>
      <w:r w:rsidR="00524A19" w:rsidRPr="00524A19">
        <w:rPr>
          <w:rFonts w:ascii="Times New Roman" w:eastAsia="Times New Roman" w:hAnsi="Times New Roman" w:cs="Times New Roman"/>
          <w:sz w:val="24"/>
          <w:szCs w:val="24"/>
          <w:lang w:eastAsia="lv-LV"/>
        </w:rPr>
        <w:t>ajā skaitā</w:t>
      </w:r>
      <w:r w:rsidRPr="00524A19">
        <w:rPr>
          <w:rFonts w:ascii="Times New Roman" w:eastAsia="Times New Roman" w:hAnsi="Times New Roman" w:cs="Times New Roman"/>
          <w:sz w:val="24"/>
          <w:szCs w:val="24"/>
          <w:lang w:eastAsia="lv-LV"/>
        </w:rPr>
        <w:t xml:space="preserve"> par </w:t>
      </w:r>
      <w:r w:rsidR="00524A19">
        <w:rPr>
          <w:rFonts w:ascii="Times New Roman" w:eastAsia="Times New Roman" w:hAnsi="Times New Roman" w:cs="Times New Roman"/>
          <w:sz w:val="24"/>
          <w:szCs w:val="24"/>
          <w:lang w:eastAsia="lv-LV"/>
        </w:rPr>
        <w:t xml:space="preserve">Biroja </w:t>
      </w:r>
      <w:r w:rsidR="00524A19" w:rsidRPr="00524A19">
        <w:rPr>
          <w:rFonts w:ascii="Times New Roman" w:eastAsia="Times New Roman" w:hAnsi="Times New Roman" w:cs="Times New Roman"/>
          <w:sz w:val="24"/>
          <w:szCs w:val="24"/>
          <w:lang w:eastAsia="lv-LV"/>
        </w:rPr>
        <w:t>priek</w:t>
      </w:r>
      <w:r w:rsidR="00524A19">
        <w:rPr>
          <w:rFonts w:ascii="Times New Roman" w:eastAsia="Times New Roman" w:hAnsi="Times New Roman" w:cs="Times New Roman"/>
          <w:sz w:val="24"/>
          <w:szCs w:val="24"/>
          <w:lang w:eastAsia="lv-LV"/>
        </w:rPr>
        <w:t>šnieka amata pretendentu atlasi, par komunikāciju ar sabiedrību, par jaunu sabie</w:t>
      </w:r>
      <w:r w:rsidR="00057A29">
        <w:rPr>
          <w:rFonts w:ascii="Times New Roman" w:eastAsia="Times New Roman" w:hAnsi="Times New Roman" w:cs="Times New Roman"/>
          <w:sz w:val="24"/>
          <w:szCs w:val="24"/>
          <w:lang w:eastAsia="lv-LV"/>
        </w:rPr>
        <w:t>drisko organizāciju iekļaušanu P</w:t>
      </w:r>
      <w:r w:rsidR="00524A19">
        <w:rPr>
          <w:rFonts w:ascii="Times New Roman" w:eastAsia="Times New Roman" w:hAnsi="Times New Roman" w:cs="Times New Roman"/>
          <w:sz w:val="24"/>
          <w:szCs w:val="24"/>
          <w:lang w:eastAsia="lv-LV"/>
        </w:rPr>
        <w:t>adomē, par priekšvēlēšanu aģitāciju. Pa</w:t>
      </w:r>
      <w:r w:rsidR="007D30C9">
        <w:rPr>
          <w:rFonts w:ascii="Times New Roman" w:eastAsia="Times New Roman" w:hAnsi="Times New Roman" w:cs="Times New Roman"/>
          <w:sz w:val="24"/>
          <w:szCs w:val="24"/>
          <w:lang w:eastAsia="lv-LV"/>
        </w:rPr>
        <w:t>dome cita starpā diskutēja par p</w:t>
      </w:r>
      <w:r w:rsidR="00524A19">
        <w:rPr>
          <w:rFonts w:ascii="Times New Roman" w:eastAsia="Times New Roman" w:hAnsi="Times New Roman" w:cs="Times New Roman"/>
          <w:sz w:val="24"/>
          <w:szCs w:val="24"/>
          <w:lang w:eastAsia="lv-LV"/>
        </w:rPr>
        <w:t>olitisko partiju finansēšanu un p</w:t>
      </w:r>
      <w:r w:rsidR="00524A19" w:rsidRPr="00524A19">
        <w:rPr>
          <w:rFonts w:ascii="Times New Roman" w:eastAsia="Times New Roman" w:hAnsi="Times New Roman" w:cs="Times New Roman"/>
          <w:sz w:val="24"/>
          <w:szCs w:val="24"/>
          <w:lang w:eastAsia="lv-LV"/>
        </w:rPr>
        <w:t>olitiskās kor</w:t>
      </w:r>
      <w:r w:rsidR="00524A19">
        <w:rPr>
          <w:rFonts w:ascii="Times New Roman" w:eastAsia="Times New Roman" w:hAnsi="Times New Roman" w:cs="Times New Roman"/>
          <w:sz w:val="24"/>
          <w:szCs w:val="24"/>
          <w:lang w:eastAsia="lv-LV"/>
        </w:rPr>
        <w:t xml:space="preserve">upcijas </w:t>
      </w:r>
      <w:r w:rsidR="00C258E6">
        <w:rPr>
          <w:rFonts w:ascii="Times New Roman" w:eastAsia="Times New Roman" w:hAnsi="Times New Roman" w:cs="Times New Roman"/>
          <w:sz w:val="24"/>
          <w:szCs w:val="24"/>
          <w:lang w:eastAsia="lv-LV"/>
        </w:rPr>
        <w:t>problemātiku</w:t>
      </w:r>
      <w:r w:rsidR="00783ABE">
        <w:rPr>
          <w:rFonts w:ascii="Times New Roman" w:eastAsia="Times New Roman" w:hAnsi="Times New Roman" w:cs="Times New Roman"/>
          <w:sz w:val="24"/>
          <w:szCs w:val="24"/>
          <w:lang w:eastAsia="lv-LV"/>
        </w:rPr>
        <w:t>, lielāko izaicinājumu saistot</w:t>
      </w:r>
      <w:r w:rsidR="00D6174E" w:rsidRPr="00D6174E">
        <w:rPr>
          <w:rFonts w:ascii="Times New Roman" w:eastAsia="Times New Roman" w:hAnsi="Times New Roman" w:cs="Times New Roman"/>
          <w:sz w:val="24"/>
          <w:szCs w:val="24"/>
          <w:lang w:eastAsia="lv-LV"/>
        </w:rPr>
        <w:t xml:space="preserve"> ar partiju politiskās aģitācijas kontroli interneta resursos, jo īpaši sociālajos tīklos. Padomes un Biroja pārstāvji atzina, ka rast tūlītēju risinājumu un veidu</w:t>
      </w:r>
      <w:r w:rsidR="00057A29">
        <w:rPr>
          <w:rFonts w:ascii="Times New Roman" w:eastAsia="Times New Roman" w:hAnsi="Times New Roman" w:cs="Times New Roman"/>
          <w:sz w:val="24"/>
          <w:szCs w:val="24"/>
          <w:lang w:eastAsia="lv-LV"/>
        </w:rPr>
        <w:t>,</w:t>
      </w:r>
      <w:r w:rsidR="00D6174E" w:rsidRPr="00D6174E">
        <w:rPr>
          <w:rFonts w:ascii="Times New Roman" w:eastAsia="Times New Roman" w:hAnsi="Times New Roman" w:cs="Times New Roman"/>
          <w:sz w:val="24"/>
          <w:szCs w:val="24"/>
          <w:lang w:eastAsia="lv-LV"/>
        </w:rPr>
        <w:t xml:space="preserve"> kā izsekot aģitācijai partiju, to biedru un atbalstītāju sociālajos kontos un profilos</w:t>
      </w:r>
      <w:r w:rsidR="00057A29">
        <w:rPr>
          <w:rFonts w:ascii="Times New Roman" w:eastAsia="Times New Roman" w:hAnsi="Times New Roman" w:cs="Times New Roman"/>
          <w:sz w:val="24"/>
          <w:szCs w:val="24"/>
          <w:lang w:eastAsia="lv-LV"/>
        </w:rPr>
        <w:t>,</w:t>
      </w:r>
      <w:r w:rsidR="00D6174E" w:rsidRPr="00D6174E">
        <w:rPr>
          <w:rFonts w:ascii="Times New Roman" w:eastAsia="Times New Roman" w:hAnsi="Times New Roman" w:cs="Times New Roman"/>
          <w:sz w:val="24"/>
          <w:szCs w:val="24"/>
          <w:lang w:eastAsia="lv-LV"/>
        </w:rPr>
        <w:t xml:space="preserve"> ir teju neiespējami, tāpēc rosināts pieaicināt kādu interneta medija ekspertu, kas sniegtu aktuālāko informāciju un tendences par interneta darbības analīzi.</w:t>
      </w:r>
    </w:p>
    <w:p w:rsidR="00524A19" w:rsidRPr="00524A19" w:rsidRDefault="007B27B6" w:rsidP="006C79D7">
      <w:pPr>
        <w:spacing w:after="0"/>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Pārskata periodā Padomi </w:t>
      </w:r>
      <w:r w:rsidR="00D6174E" w:rsidRPr="00D6174E">
        <w:rPr>
          <w:rFonts w:ascii="Times New Roman" w:eastAsia="Times New Roman" w:hAnsi="Times New Roman" w:cs="Times New Roman"/>
          <w:sz w:val="24"/>
          <w:szCs w:val="24"/>
          <w:lang w:eastAsia="lv-LV"/>
        </w:rPr>
        <w:t>papildinā</w:t>
      </w:r>
      <w:r>
        <w:rPr>
          <w:rFonts w:ascii="Times New Roman" w:eastAsia="Times New Roman" w:hAnsi="Times New Roman" w:cs="Times New Roman"/>
          <w:sz w:val="24"/>
          <w:szCs w:val="24"/>
          <w:lang w:eastAsia="lv-LV"/>
        </w:rPr>
        <w:t>ja</w:t>
      </w:r>
      <w:r w:rsidR="00D6174E" w:rsidRPr="00D6174E">
        <w:rPr>
          <w:rFonts w:ascii="Times New Roman" w:eastAsia="Times New Roman" w:hAnsi="Times New Roman" w:cs="Times New Roman"/>
          <w:sz w:val="24"/>
          <w:szCs w:val="24"/>
          <w:lang w:eastAsia="lv-LV"/>
        </w:rPr>
        <w:t xml:space="preserve"> jauni</w:t>
      </w:r>
      <w:r>
        <w:rPr>
          <w:rFonts w:ascii="Times New Roman" w:eastAsia="Times New Roman" w:hAnsi="Times New Roman" w:cs="Times New Roman"/>
          <w:sz w:val="24"/>
          <w:szCs w:val="24"/>
          <w:lang w:eastAsia="lv-LV"/>
        </w:rPr>
        <w:t xml:space="preserve"> biedri</w:t>
      </w:r>
      <w:r w:rsidR="00D6174E" w:rsidRPr="00D6174E">
        <w:rPr>
          <w:rFonts w:ascii="Times New Roman" w:eastAsia="Times New Roman" w:hAnsi="Times New Roman" w:cs="Times New Roman"/>
          <w:sz w:val="24"/>
          <w:szCs w:val="24"/>
          <w:lang w:eastAsia="lv-LV"/>
        </w:rPr>
        <w:t xml:space="preserve"> – “Latvijas ārstu biedrību” pārstāv Jānis Vētra un biedrību “Lauksaimnieku organizāciju sadarbības padome”</w:t>
      </w:r>
      <w:r w:rsidR="00783ABE">
        <w:rPr>
          <w:rFonts w:ascii="Times New Roman" w:eastAsia="Times New Roman" w:hAnsi="Times New Roman" w:cs="Times New Roman"/>
          <w:sz w:val="24"/>
          <w:szCs w:val="24"/>
          <w:lang w:eastAsia="lv-LV"/>
        </w:rPr>
        <w:t xml:space="preserve"> –</w:t>
      </w:r>
      <w:r w:rsidR="00D6174E" w:rsidRPr="00D6174E">
        <w:rPr>
          <w:rFonts w:ascii="Times New Roman" w:eastAsia="Times New Roman" w:hAnsi="Times New Roman" w:cs="Times New Roman"/>
          <w:sz w:val="24"/>
          <w:szCs w:val="24"/>
          <w:lang w:eastAsia="lv-LV"/>
        </w:rPr>
        <w:t xml:space="preserve"> Arnis Muižnieks. Tāpat savu darbību Padomē atjaunoja Sabiedrība par atklātību “DELNA” un Sabiedriskās politikas centrs “PROVIDUS”.</w:t>
      </w:r>
    </w:p>
    <w:p w:rsidR="005C7C99" w:rsidRPr="00B30C4B" w:rsidRDefault="005C7C99" w:rsidP="006C79D7">
      <w:pPr>
        <w:pStyle w:val="Heading1"/>
        <w:spacing w:before="0" w:line="276" w:lineRule="auto"/>
        <w:ind w:firstLine="567"/>
        <w:rPr>
          <w:sz w:val="24"/>
          <w:szCs w:val="24"/>
        </w:rPr>
      </w:pPr>
    </w:p>
    <w:p w:rsidR="005C7C99" w:rsidRDefault="005C7C99" w:rsidP="006C79D7">
      <w:pPr>
        <w:spacing w:after="0"/>
        <w:ind w:firstLine="709"/>
        <w:rPr>
          <w:rFonts w:ascii="Times New Roman" w:hAnsi="Times New Roman" w:cs="Times New Roman"/>
          <w:b/>
          <w:color w:val="000000" w:themeColor="text1"/>
          <w:sz w:val="24"/>
          <w:szCs w:val="24"/>
        </w:rPr>
      </w:pPr>
      <w:bookmarkStart w:id="25" w:name="_Toc474219915"/>
      <w:bookmarkStart w:id="26" w:name="_Toc474220919"/>
      <w:r w:rsidRPr="007B13E9">
        <w:rPr>
          <w:rFonts w:ascii="Times New Roman" w:hAnsi="Times New Roman" w:cs="Times New Roman"/>
          <w:b/>
          <w:color w:val="000000" w:themeColor="text1"/>
          <w:sz w:val="24"/>
          <w:szCs w:val="24"/>
        </w:rPr>
        <w:t>Publiskie pasākumi</w:t>
      </w:r>
      <w:bookmarkEnd w:id="25"/>
      <w:bookmarkEnd w:id="26"/>
    </w:p>
    <w:p w:rsidR="0081243E" w:rsidRDefault="00057A29" w:rsidP="006C79D7">
      <w:pPr>
        <w:spacing w:after="0"/>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2017.gada 10.oktobrī </w:t>
      </w:r>
      <w:r w:rsidR="00BC4E4E">
        <w:rPr>
          <w:rFonts w:ascii="Times New Roman" w:hAnsi="Times New Roman" w:cs="Times New Roman"/>
          <w:bCs/>
          <w:color w:val="000000" w:themeColor="text1"/>
          <w:sz w:val="24"/>
          <w:szCs w:val="24"/>
        </w:rPr>
        <w:t>apritēj</w:t>
      </w:r>
      <w:r>
        <w:rPr>
          <w:rFonts w:ascii="Times New Roman" w:hAnsi="Times New Roman" w:cs="Times New Roman"/>
          <w:bCs/>
          <w:color w:val="000000" w:themeColor="text1"/>
          <w:sz w:val="24"/>
          <w:szCs w:val="24"/>
        </w:rPr>
        <w:t>a</w:t>
      </w:r>
      <w:r w:rsidR="00BC4E4E">
        <w:rPr>
          <w:rFonts w:ascii="Times New Roman" w:hAnsi="Times New Roman" w:cs="Times New Roman"/>
          <w:bCs/>
          <w:color w:val="000000" w:themeColor="text1"/>
          <w:sz w:val="24"/>
          <w:szCs w:val="24"/>
        </w:rPr>
        <w:t xml:space="preserve"> 15 gadi kopš Biroja dibināšanas. </w:t>
      </w:r>
      <w:r w:rsidR="00BC4E4E" w:rsidRPr="00BC4E4E">
        <w:rPr>
          <w:rFonts w:ascii="Times New Roman" w:hAnsi="Times New Roman" w:cs="Times New Roman"/>
          <w:bCs/>
          <w:color w:val="000000" w:themeColor="text1"/>
          <w:sz w:val="24"/>
          <w:szCs w:val="24"/>
        </w:rPr>
        <w:t xml:space="preserve">Atzīmējot </w:t>
      </w:r>
      <w:r w:rsidR="00BC4E4E">
        <w:rPr>
          <w:rFonts w:ascii="Times New Roman" w:hAnsi="Times New Roman" w:cs="Times New Roman"/>
          <w:bCs/>
          <w:color w:val="000000" w:themeColor="text1"/>
          <w:sz w:val="24"/>
          <w:szCs w:val="24"/>
        </w:rPr>
        <w:t>Biroja</w:t>
      </w:r>
      <w:r w:rsidR="00BC4E4E" w:rsidRPr="00BC4E4E">
        <w:rPr>
          <w:rFonts w:ascii="Times New Roman" w:hAnsi="Times New Roman" w:cs="Times New Roman"/>
          <w:bCs/>
          <w:color w:val="000000" w:themeColor="text1"/>
          <w:sz w:val="24"/>
          <w:szCs w:val="24"/>
        </w:rPr>
        <w:t xml:space="preserve"> piecpadsmito gadadienu, </w:t>
      </w:r>
      <w:r w:rsidR="0081243E">
        <w:rPr>
          <w:rFonts w:ascii="Times New Roman" w:hAnsi="Times New Roman" w:cs="Times New Roman"/>
          <w:bCs/>
          <w:color w:val="000000" w:themeColor="text1"/>
          <w:sz w:val="24"/>
          <w:szCs w:val="24"/>
        </w:rPr>
        <w:t xml:space="preserve">pirmo reizi Latvijā </w:t>
      </w:r>
      <w:r w:rsidR="00BC4E4E" w:rsidRPr="00BC4E4E">
        <w:rPr>
          <w:rFonts w:ascii="Times New Roman" w:hAnsi="Times New Roman" w:cs="Times New Roman"/>
          <w:bCs/>
          <w:color w:val="000000" w:themeColor="text1"/>
          <w:sz w:val="24"/>
          <w:szCs w:val="24"/>
        </w:rPr>
        <w:t>tika r</w:t>
      </w:r>
      <w:r w:rsidR="00BC4E4E">
        <w:rPr>
          <w:rFonts w:ascii="Times New Roman" w:hAnsi="Times New Roman" w:cs="Times New Roman"/>
          <w:bCs/>
          <w:color w:val="000000" w:themeColor="text1"/>
          <w:sz w:val="24"/>
          <w:szCs w:val="24"/>
        </w:rPr>
        <w:t>īkota starptautiska konference</w:t>
      </w:r>
      <w:r w:rsidR="0081243E">
        <w:rPr>
          <w:rFonts w:ascii="Times New Roman" w:hAnsi="Times New Roman" w:cs="Times New Roman"/>
          <w:bCs/>
          <w:color w:val="000000" w:themeColor="text1"/>
          <w:sz w:val="24"/>
          <w:szCs w:val="24"/>
        </w:rPr>
        <w:t xml:space="preserve"> par cīņu pret korupciju. N</w:t>
      </w:r>
      <w:r w:rsidR="0081243E" w:rsidRPr="0081243E">
        <w:rPr>
          <w:rFonts w:ascii="Times New Roman" w:hAnsi="Times New Roman" w:cs="Times New Roman"/>
          <w:bCs/>
          <w:color w:val="000000" w:themeColor="text1"/>
          <w:sz w:val="24"/>
          <w:szCs w:val="24"/>
        </w:rPr>
        <w:t>o 2017.gada 9. līdz 11.okobrim</w:t>
      </w:r>
      <w:r w:rsidR="0081243E">
        <w:rPr>
          <w:rFonts w:ascii="Times New Roman" w:hAnsi="Times New Roman" w:cs="Times New Roman"/>
          <w:bCs/>
          <w:color w:val="000000" w:themeColor="text1"/>
          <w:sz w:val="24"/>
          <w:szCs w:val="24"/>
        </w:rPr>
        <w:t xml:space="preserve"> ar starptautisku ekspertu</w:t>
      </w:r>
      <w:r w:rsidR="00C83DC1">
        <w:rPr>
          <w:rFonts w:ascii="Times New Roman" w:hAnsi="Times New Roman" w:cs="Times New Roman"/>
          <w:bCs/>
          <w:color w:val="000000" w:themeColor="text1"/>
          <w:sz w:val="24"/>
          <w:szCs w:val="24"/>
        </w:rPr>
        <w:t xml:space="preserve"> līdzdalību notika konference </w:t>
      </w:r>
      <w:r w:rsidR="00BC4E4E">
        <w:rPr>
          <w:rFonts w:ascii="Times New Roman" w:hAnsi="Times New Roman" w:cs="Times New Roman"/>
          <w:bCs/>
          <w:color w:val="000000" w:themeColor="text1"/>
          <w:sz w:val="24"/>
          <w:szCs w:val="24"/>
        </w:rPr>
        <w:t>“</w:t>
      </w:r>
      <w:r w:rsidR="00BC4E4E" w:rsidRPr="00BC4E4E">
        <w:rPr>
          <w:rFonts w:ascii="Times New Roman" w:hAnsi="Times New Roman" w:cs="Times New Roman"/>
          <w:bCs/>
          <w:color w:val="000000" w:themeColor="text1"/>
          <w:sz w:val="24"/>
          <w:szCs w:val="24"/>
        </w:rPr>
        <w:t>Ceļā uz atklātību, atbildību un labāku pārvaldību: trauksmes celšanas veicināšana, cīņa pret k</w:t>
      </w:r>
      <w:r w:rsidR="00BC4E4E">
        <w:rPr>
          <w:rFonts w:ascii="Times New Roman" w:hAnsi="Times New Roman" w:cs="Times New Roman"/>
          <w:bCs/>
          <w:color w:val="000000" w:themeColor="text1"/>
          <w:sz w:val="24"/>
          <w:szCs w:val="24"/>
        </w:rPr>
        <w:t>orupciju, nākotnes perspektīvas”</w:t>
      </w:r>
      <w:r w:rsidR="00BC4E4E" w:rsidRPr="00BC4E4E">
        <w:rPr>
          <w:rFonts w:ascii="Times New Roman" w:hAnsi="Times New Roman" w:cs="Times New Roman"/>
          <w:bCs/>
          <w:color w:val="000000" w:themeColor="text1"/>
          <w:sz w:val="24"/>
          <w:szCs w:val="24"/>
        </w:rPr>
        <w:t>.</w:t>
      </w:r>
      <w:r w:rsidR="00BC4E4E">
        <w:rPr>
          <w:rFonts w:ascii="Times New Roman" w:hAnsi="Times New Roman" w:cs="Times New Roman"/>
          <w:bCs/>
          <w:color w:val="000000" w:themeColor="text1"/>
          <w:sz w:val="24"/>
          <w:szCs w:val="24"/>
        </w:rPr>
        <w:t xml:space="preserve"> </w:t>
      </w:r>
      <w:r w:rsidR="00BC4E4E" w:rsidRPr="00BC4E4E">
        <w:rPr>
          <w:rFonts w:ascii="Times New Roman" w:hAnsi="Times New Roman" w:cs="Times New Roman"/>
          <w:bCs/>
          <w:color w:val="000000" w:themeColor="text1"/>
          <w:sz w:val="24"/>
          <w:szCs w:val="24"/>
        </w:rPr>
        <w:t>Konferencē ar pieredzi un labās prakses piemēriem dalījās eksperti no Latvijas, kā arī ASV, Nīderlandes, Francijas, Polijas, Brazīlijas, Bulgārijas, Īrijas, Gruzijas, Vācijas, Lietuvas</w:t>
      </w:r>
      <w:r w:rsidR="00747C2C">
        <w:rPr>
          <w:rFonts w:ascii="Times New Roman" w:hAnsi="Times New Roman" w:cs="Times New Roman"/>
          <w:bCs/>
          <w:color w:val="000000" w:themeColor="text1"/>
          <w:sz w:val="24"/>
          <w:szCs w:val="24"/>
        </w:rPr>
        <w:t>,</w:t>
      </w:r>
      <w:r w:rsidR="009B360C">
        <w:rPr>
          <w:rFonts w:ascii="Times New Roman" w:hAnsi="Times New Roman" w:cs="Times New Roman"/>
          <w:bCs/>
          <w:color w:val="000000" w:themeColor="text1"/>
          <w:sz w:val="24"/>
          <w:szCs w:val="24"/>
        </w:rPr>
        <w:t xml:space="preserve"> </w:t>
      </w:r>
      <w:r w:rsidR="00BC4E4E" w:rsidRPr="00BC4E4E">
        <w:rPr>
          <w:rFonts w:ascii="Times New Roman" w:hAnsi="Times New Roman" w:cs="Times New Roman"/>
          <w:bCs/>
          <w:color w:val="000000" w:themeColor="text1"/>
          <w:sz w:val="24"/>
          <w:szCs w:val="24"/>
        </w:rPr>
        <w:t xml:space="preserve">Igaunijas un starptautiskām organizācijām – </w:t>
      </w:r>
      <w:r w:rsidR="005442FE" w:rsidRPr="005442FE">
        <w:rPr>
          <w:rFonts w:ascii="Times New Roman" w:hAnsi="Times New Roman" w:cs="Times New Roman"/>
          <w:bCs/>
          <w:color w:val="000000" w:themeColor="text1"/>
          <w:sz w:val="24"/>
          <w:szCs w:val="24"/>
        </w:rPr>
        <w:t>Ekonomiskās sadarbības un attīstības organizācija</w:t>
      </w:r>
      <w:r w:rsidR="005442FE">
        <w:rPr>
          <w:rFonts w:ascii="Times New Roman" w:hAnsi="Times New Roman" w:cs="Times New Roman"/>
          <w:bCs/>
          <w:color w:val="000000" w:themeColor="text1"/>
          <w:sz w:val="24"/>
          <w:szCs w:val="24"/>
        </w:rPr>
        <w:t>s (</w:t>
      </w:r>
      <w:r w:rsidR="00BC4E4E" w:rsidRPr="00BC4E4E">
        <w:rPr>
          <w:rFonts w:ascii="Times New Roman" w:hAnsi="Times New Roman" w:cs="Times New Roman"/>
          <w:bCs/>
          <w:color w:val="000000" w:themeColor="text1"/>
          <w:sz w:val="24"/>
          <w:szCs w:val="24"/>
        </w:rPr>
        <w:t>OECD</w:t>
      </w:r>
      <w:r w:rsidR="005442FE">
        <w:rPr>
          <w:rFonts w:ascii="Times New Roman" w:hAnsi="Times New Roman" w:cs="Times New Roman"/>
          <w:bCs/>
          <w:color w:val="000000" w:themeColor="text1"/>
          <w:sz w:val="24"/>
          <w:szCs w:val="24"/>
        </w:rPr>
        <w:t>)</w:t>
      </w:r>
      <w:r w:rsidR="00BC4E4E" w:rsidRPr="00BC4E4E">
        <w:rPr>
          <w:rFonts w:ascii="Times New Roman" w:hAnsi="Times New Roman" w:cs="Times New Roman"/>
          <w:bCs/>
          <w:color w:val="000000" w:themeColor="text1"/>
          <w:sz w:val="24"/>
          <w:szCs w:val="24"/>
        </w:rPr>
        <w:t xml:space="preserve">, </w:t>
      </w:r>
      <w:r w:rsidR="005442FE" w:rsidRPr="005442FE">
        <w:rPr>
          <w:rFonts w:ascii="Times New Roman" w:hAnsi="Times New Roman" w:cs="Times New Roman"/>
          <w:bCs/>
          <w:color w:val="000000" w:themeColor="text1"/>
          <w:sz w:val="24"/>
          <w:szCs w:val="24"/>
        </w:rPr>
        <w:t xml:space="preserve">Eiropas Padomes Starpvalstu pretkorupcijas grupas </w:t>
      </w:r>
      <w:r w:rsidR="005442FE">
        <w:rPr>
          <w:rFonts w:ascii="Times New Roman" w:hAnsi="Times New Roman" w:cs="Times New Roman"/>
          <w:bCs/>
          <w:color w:val="000000" w:themeColor="text1"/>
          <w:sz w:val="24"/>
          <w:szCs w:val="24"/>
        </w:rPr>
        <w:t>(</w:t>
      </w:r>
      <w:r w:rsidR="00BC4E4E">
        <w:rPr>
          <w:rFonts w:ascii="Times New Roman" w:hAnsi="Times New Roman" w:cs="Times New Roman"/>
          <w:bCs/>
          <w:color w:val="000000" w:themeColor="text1"/>
          <w:sz w:val="24"/>
          <w:szCs w:val="24"/>
        </w:rPr>
        <w:t>GRECO</w:t>
      </w:r>
      <w:r w:rsidR="005442FE">
        <w:rPr>
          <w:rFonts w:ascii="Times New Roman" w:hAnsi="Times New Roman" w:cs="Times New Roman"/>
          <w:bCs/>
          <w:color w:val="000000" w:themeColor="text1"/>
          <w:sz w:val="24"/>
          <w:szCs w:val="24"/>
        </w:rPr>
        <w:t>)</w:t>
      </w:r>
      <w:r w:rsidR="00BC4E4E">
        <w:rPr>
          <w:rFonts w:ascii="Times New Roman" w:hAnsi="Times New Roman" w:cs="Times New Roman"/>
          <w:bCs/>
          <w:color w:val="000000" w:themeColor="text1"/>
          <w:sz w:val="24"/>
          <w:szCs w:val="24"/>
        </w:rPr>
        <w:t xml:space="preserve"> </w:t>
      </w:r>
      <w:r w:rsidR="00BC4E4E" w:rsidRPr="00BC4E4E">
        <w:rPr>
          <w:rFonts w:ascii="Times New Roman" w:hAnsi="Times New Roman" w:cs="Times New Roman"/>
          <w:bCs/>
          <w:color w:val="000000" w:themeColor="text1"/>
          <w:sz w:val="24"/>
          <w:szCs w:val="24"/>
        </w:rPr>
        <w:t xml:space="preserve">un Eiropas Drošības un sadarbības organizācijas (EDSO). Eksperti un </w:t>
      </w:r>
      <w:proofErr w:type="spellStart"/>
      <w:r w:rsidR="00BC4E4E" w:rsidRPr="00BC4E4E">
        <w:rPr>
          <w:rFonts w:ascii="Times New Roman" w:hAnsi="Times New Roman" w:cs="Times New Roman"/>
          <w:bCs/>
          <w:color w:val="000000" w:themeColor="text1"/>
          <w:sz w:val="24"/>
          <w:szCs w:val="24"/>
        </w:rPr>
        <w:t>paneļdiskusiju</w:t>
      </w:r>
      <w:proofErr w:type="spellEnd"/>
      <w:r w:rsidR="00BC4E4E" w:rsidRPr="00BC4E4E">
        <w:rPr>
          <w:rFonts w:ascii="Times New Roman" w:hAnsi="Times New Roman" w:cs="Times New Roman"/>
          <w:bCs/>
          <w:color w:val="000000" w:themeColor="text1"/>
          <w:sz w:val="24"/>
          <w:szCs w:val="24"/>
        </w:rPr>
        <w:t xml:space="preserve"> dalībnieki pārstāvēja valsts, pašvaldību, nevalstisko un privāto sektoru.</w:t>
      </w:r>
    </w:p>
    <w:p w:rsidR="00BC4E4E" w:rsidRDefault="00BC4E4E" w:rsidP="006C79D7">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Par godu </w:t>
      </w:r>
      <w:r w:rsidR="00747C2C">
        <w:rPr>
          <w:rFonts w:ascii="Times New Roman" w:hAnsi="Times New Roman" w:cs="Times New Roman"/>
          <w:bCs/>
          <w:color w:val="000000" w:themeColor="text1"/>
          <w:sz w:val="24"/>
          <w:szCs w:val="24"/>
        </w:rPr>
        <w:t xml:space="preserve">Biroja jubilejai </w:t>
      </w:r>
      <w:r>
        <w:rPr>
          <w:rFonts w:ascii="Times New Roman" w:hAnsi="Times New Roman" w:cs="Times New Roman"/>
          <w:bCs/>
          <w:color w:val="000000" w:themeColor="text1"/>
          <w:sz w:val="24"/>
          <w:szCs w:val="24"/>
        </w:rPr>
        <w:t>VAS “Latvijas pasts”</w:t>
      </w:r>
      <w:r w:rsidRPr="00BC4E4E">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izdeva</w:t>
      </w:r>
      <w:r w:rsidRPr="00BC4E4E">
        <w:rPr>
          <w:rFonts w:ascii="Times New Roman" w:hAnsi="Times New Roman" w:cs="Times New Roman"/>
          <w:bCs/>
          <w:color w:val="000000" w:themeColor="text1"/>
          <w:sz w:val="24"/>
          <w:szCs w:val="24"/>
        </w:rPr>
        <w:t xml:space="preserve"> jaunu pastmarku un aploksni. Pastmarkas p</w:t>
      </w:r>
      <w:r>
        <w:rPr>
          <w:rFonts w:ascii="Times New Roman" w:hAnsi="Times New Roman" w:cs="Times New Roman"/>
          <w:bCs/>
          <w:color w:val="000000" w:themeColor="text1"/>
          <w:sz w:val="24"/>
          <w:szCs w:val="24"/>
        </w:rPr>
        <w:t xml:space="preserve">irmās dienas zīmogošana notika Biroja </w:t>
      </w:r>
      <w:r w:rsidR="00057A29">
        <w:rPr>
          <w:rFonts w:ascii="Times New Roman" w:hAnsi="Times New Roman" w:cs="Times New Roman"/>
          <w:bCs/>
          <w:color w:val="000000" w:themeColor="text1"/>
          <w:sz w:val="24"/>
          <w:szCs w:val="24"/>
        </w:rPr>
        <w:t xml:space="preserve">dibināšanas datumā – </w:t>
      </w:r>
      <w:r w:rsidRPr="00BC4E4E">
        <w:rPr>
          <w:rFonts w:ascii="Times New Roman" w:hAnsi="Times New Roman" w:cs="Times New Roman"/>
          <w:bCs/>
          <w:color w:val="000000" w:themeColor="text1"/>
          <w:sz w:val="24"/>
          <w:szCs w:val="24"/>
        </w:rPr>
        <w:t>10.oktobrī</w:t>
      </w:r>
      <w:r>
        <w:rPr>
          <w:rFonts w:ascii="Times New Roman" w:hAnsi="Times New Roman" w:cs="Times New Roman"/>
          <w:bCs/>
          <w:color w:val="000000" w:themeColor="text1"/>
          <w:sz w:val="24"/>
          <w:szCs w:val="24"/>
        </w:rPr>
        <w:t xml:space="preserve">. </w:t>
      </w:r>
      <w:r w:rsidRPr="00BC4E4E">
        <w:rPr>
          <w:rFonts w:ascii="Times New Roman" w:hAnsi="Times New Roman" w:cs="Times New Roman"/>
          <w:color w:val="000000" w:themeColor="text1"/>
          <w:sz w:val="24"/>
          <w:szCs w:val="24"/>
        </w:rPr>
        <w:t xml:space="preserve">Uz pastmarkas attēlota </w:t>
      </w:r>
      <w:r>
        <w:rPr>
          <w:rFonts w:ascii="Times New Roman" w:hAnsi="Times New Roman" w:cs="Times New Roman"/>
          <w:color w:val="000000" w:themeColor="text1"/>
          <w:sz w:val="24"/>
          <w:szCs w:val="24"/>
        </w:rPr>
        <w:t>Biroja</w:t>
      </w:r>
      <w:r w:rsidRPr="00BC4E4E">
        <w:rPr>
          <w:rFonts w:ascii="Times New Roman" w:hAnsi="Times New Roman" w:cs="Times New Roman"/>
          <w:color w:val="000000" w:themeColor="text1"/>
          <w:sz w:val="24"/>
          <w:szCs w:val="24"/>
        </w:rPr>
        <w:t xml:space="preserve"> devīze </w:t>
      </w:r>
      <w:r>
        <w:rPr>
          <w:rFonts w:ascii="Times New Roman" w:hAnsi="Times New Roman" w:cs="Times New Roman"/>
          <w:color w:val="000000" w:themeColor="text1"/>
          <w:sz w:val="24"/>
          <w:szCs w:val="24"/>
        </w:rPr>
        <w:t>“</w:t>
      </w:r>
      <w:r w:rsidRPr="00BC4E4E">
        <w:rPr>
          <w:rFonts w:ascii="Times New Roman" w:hAnsi="Times New Roman" w:cs="Times New Roman"/>
          <w:color w:val="000000" w:themeColor="text1"/>
          <w:sz w:val="24"/>
          <w:szCs w:val="24"/>
        </w:rPr>
        <w:t>Gods pār varu</w:t>
      </w:r>
      <w:r>
        <w:rPr>
          <w:rFonts w:ascii="Times New Roman" w:hAnsi="Times New Roman" w:cs="Times New Roman"/>
          <w:color w:val="000000" w:themeColor="text1"/>
          <w:sz w:val="24"/>
          <w:szCs w:val="24"/>
        </w:rPr>
        <w:t>”</w:t>
      </w:r>
      <w:r w:rsidRPr="00BC4E4E">
        <w:rPr>
          <w:rFonts w:ascii="Times New Roman" w:hAnsi="Times New Roman" w:cs="Times New Roman"/>
          <w:color w:val="000000" w:themeColor="text1"/>
          <w:sz w:val="24"/>
          <w:szCs w:val="24"/>
        </w:rPr>
        <w:t xml:space="preserve">, kas apzīmē goda nozīmi cīņā </w:t>
      </w:r>
      <w:r w:rsidR="00057A29">
        <w:rPr>
          <w:rFonts w:ascii="Times New Roman" w:hAnsi="Times New Roman" w:cs="Times New Roman"/>
          <w:color w:val="000000" w:themeColor="text1"/>
          <w:sz w:val="24"/>
          <w:szCs w:val="24"/>
        </w:rPr>
        <w:t>pret</w:t>
      </w:r>
      <w:r w:rsidRPr="00BC4E4E">
        <w:rPr>
          <w:rFonts w:ascii="Times New Roman" w:hAnsi="Times New Roman" w:cs="Times New Roman"/>
          <w:color w:val="000000" w:themeColor="text1"/>
          <w:sz w:val="24"/>
          <w:szCs w:val="24"/>
        </w:rPr>
        <w:t xml:space="preserve"> korupciju. Goda jēdziens skaidro cilvēka attieksmi pret sevi un sabiedrības attieksmi pret </w:t>
      </w:r>
      <w:r w:rsidRPr="00BC4E4E">
        <w:rPr>
          <w:rFonts w:ascii="Times New Roman" w:hAnsi="Times New Roman" w:cs="Times New Roman"/>
          <w:color w:val="000000" w:themeColor="text1"/>
          <w:sz w:val="24"/>
          <w:szCs w:val="24"/>
        </w:rPr>
        <w:lastRenderedPageBreak/>
        <w:t>konkrēto cilvēku, bet godīgums ietver tādas vērtības kā uzticība, patiesums un principialitāte. Savukārt šaha spēles kauliņi pastmarkā simboliski attēlo pretkorupcijas cīņas procesu</w:t>
      </w:r>
      <w:r w:rsidR="008D722F">
        <w:rPr>
          <w:rFonts w:ascii="Times New Roman" w:hAnsi="Times New Roman" w:cs="Times New Roman"/>
          <w:color w:val="000000" w:themeColor="text1"/>
          <w:sz w:val="24"/>
          <w:szCs w:val="24"/>
        </w:rPr>
        <w:t>.</w:t>
      </w:r>
    </w:p>
    <w:p w:rsidR="001B4097" w:rsidRDefault="00FF2CCA" w:rsidP="006C79D7">
      <w:pPr>
        <w:spacing w:before="240" w:after="0"/>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lv-LV"/>
        </w:rPr>
        <w:drawing>
          <wp:inline distT="0" distB="0" distL="0" distR="0" wp14:anchorId="74BE68A5" wp14:editId="47C16CA4">
            <wp:extent cx="4965405" cy="3486394"/>
            <wp:effectExtent l="19050" t="19050" r="26035" b="19050"/>
            <wp:docPr id="13" name="Picture 13" descr="Z:\rapsa\SAPNN\doc0188222018013113495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rapsa\SAPNN\doc01882220180131134951_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485" cy="3486450"/>
                    </a:xfrm>
                    <a:prstGeom prst="rect">
                      <a:avLst/>
                    </a:prstGeom>
                    <a:noFill/>
                    <a:ln w="3175">
                      <a:solidFill>
                        <a:schemeClr val="tx1"/>
                      </a:solidFill>
                      <a:prstDash val="solid"/>
                    </a:ln>
                  </pic:spPr>
                </pic:pic>
              </a:graphicData>
            </a:graphic>
          </wp:inline>
        </w:drawing>
      </w:r>
    </w:p>
    <w:p w:rsidR="008F60B9" w:rsidRPr="00C84183" w:rsidRDefault="00C84183" w:rsidP="006C79D7">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2.attēls. Biroja gadadienai veltītā </w:t>
      </w:r>
      <w:r w:rsidR="00FF2CCA">
        <w:rPr>
          <w:rFonts w:ascii="Times New Roman" w:hAnsi="Times New Roman" w:cs="Times New Roman"/>
          <w:i/>
          <w:color w:val="000000" w:themeColor="text1"/>
          <w:sz w:val="24"/>
          <w:szCs w:val="24"/>
        </w:rPr>
        <w:t xml:space="preserve">aploksne un </w:t>
      </w:r>
      <w:r>
        <w:rPr>
          <w:rFonts w:ascii="Times New Roman" w:hAnsi="Times New Roman" w:cs="Times New Roman"/>
          <w:i/>
          <w:color w:val="000000" w:themeColor="text1"/>
          <w:sz w:val="24"/>
          <w:szCs w:val="24"/>
        </w:rPr>
        <w:t>pastmarka</w:t>
      </w:r>
    </w:p>
    <w:p w:rsidR="00C84183" w:rsidRDefault="00C84183" w:rsidP="006C79D7">
      <w:pPr>
        <w:spacing w:after="0"/>
        <w:ind w:firstLine="709"/>
        <w:jc w:val="both"/>
        <w:rPr>
          <w:rFonts w:ascii="Times New Roman" w:hAnsi="Times New Roman" w:cs="Times New Roman"/>
          <w:color w:val="000000" w:themeColor="text1"/>
          <w:sz w:val="24"/>
          <w:szCs w:val="24"/>
        </w:rPr>
      </w:pPr>
    </w:p>
    <w:p w:rsidR="00BC4E4E" w:rsidRDefault="001B1D36" w:rsidP="006C79D7">
      <w:pPr>
        <w:spacing w:after="0"/>
        <w:ind w:firstLine="709"/>
        <w:jc w:val="both"/>
        <w:rPr>
          <w:rFonts w:ascii="Times New Roman" w:hAnsi="Times New Roman" w:cs="Times New Roman"/>
          <w:color w:val="000000" w:themeColor="text1"/>
          <w:sz w:val="24"/>
          <w:szCs w:val="24"/>
        </w:rPr>
      </w:pPr>
      <w:r w:rsidRPr="001B1D36">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7</w:t>
      </w:r>
      <w:r w:rsidR="00A6234E">
        <w:rPr>
          <w:rFonts w:ascii="Times New Roman" w:hAnsi="Times New Roman" w:cs="Times New Roman"/>
          <w:color w:val="000000" w:themeColor="text1"/>
          <w:sz w:val="24"/>
          <w:szCs w:val="24"/>
        </w:rPr>
        <w:t>.gadā Birojs piedalījās v</w:t>
      </w:r>
      <w:r w:rsidRPr="001B1D36">
        <w:rPr>
          <w:rFonts w:ascii="Times New Roman" w:hAnsi="Times New Roman" w:cs="Times New Roman"/>
          <w:color w:val="000000" w:themeColor="text1"/>
          <w:sz w:val="24"/>
          <w:szCs w:val="24"/>
        </w:rPr>
        <w:t xml:space="preserve">alsts pārvaldes Atvērto durvju </w:t>
      </w:r>
      <w:r>
        <w:rPr>
          <w:rFonts w:ascii="Times New Roman" w:hAnsi="Times New Roman" w:cs="Times New Roman"/>
          <w:color w:val="000000" w:themeColor="text1"/>
          <w:sz w:val="24"/>
          <w:szCs w:val="24"/>
        </w:rPr>
        <w:t>dienā. Vairāki desmiti skolēnu</w:t>
      </w:r>
      <w:r w:rsidRPr="001B1D36">
        <w:rPr>
          <w:rFonts w:ascii="Times New Roman" w:hAnsi="Times New Roman" w:cs="Times New Roman"/>
          <w:color w:val="000000" w:themeColor="text1"/>
          <w:sz w:val="24"/>
          <w:szCs w:val="24"/>
        </w:rPr>
        <w:t>, apmeklējot Biroju Atvērto durvju dien</w:t>
      </w:r>
      <w:r w:rsidR="007150F1">
        <w:rPr>
          <w:rFonts w:ascii="Times New Roman" w:hAnsi="Times New Roman" w:cs="Times New Roman"/>
          <w:color w:val="000000" w:themeColor="text1"/>
          <w:sz w:val="24"/>
          <w:szCs w:val="24"/>
        </w:rPr>
        <w:t>ā</w:t>
      </w:r>
      <w:r w:rsidRPr="001B1D36">
        <w:rPr>
          <w:rFonts w:ascii="Times New Roman" w:hAnsi="Times New Roman" w:cs="Times New Roman"/>
          <w:color w:val="000000" w:themeColor="text1"/>
          <w:sz w:val="24"/>
          <w:szCs w:val="24"/>
        </w:rPr>
        <w:t>, izmantoja iespēju iegūt informāciju par Biroja darbības specifiku un funkcijām, tikās ar speciālistiem un izmeklētājiem</w:t>
      </w:r>
      <w:r>
        <w:rPr>
          <w:rFonts w:ascii="Times New Roman" w:hAnsi="Times New Roman" w:cs="Times New Roman"/>
          <w:color w:val="000000" w:themeColor="text1"/>
          <w:sz w:val="24"/>
          <w:szCs w:val="24"/>
        </w:rPr>
        <w:t>.</w:t>
      </w:r>
    </w:p>
    <w:p w:rsidR="005C7C99" w:rsidRDefault="005C7C99" w:rsidP="006C79D7">
      <w:pPr>
        <w:pStyle w:val="NormalWeb"/>
        <w:spacing w:before="0" w:beforeAutospacing="0" w:after="0" w:afterAutospacing="0" w:line="276" w:lineRule="auto"/>
        <w:jc w:val="both"/>
        <w:rPr>
          <w:i/>
          <w:lang w:val="lv-LV"/>
        </w:rPr>
      </w:pPr>
    </w:p>
    <w:p w:rsidR="00BD4E6C" w:rsidRDefault="00BD4E6C" w:rsidP="006C79D7">
      <w:pPr>
        <w:pStyle w:val="NormalWeb"/>
        <w:spacing w:before="0" w:beforeAutospacing="0" w:after="0" w:afterAutospacing="0" w:line="276" w:lineRule="auto"/>
        <w:jc w:val="both"/>
        <w:rPr>
          <w:i/>
          <w:lang w:val="lv-LV"/>
        </w:rPr>
      </w:pPr>
    </w:p>
    <w:p w:rsidR="00BD4E6C" w:rsidRPr="00C41916" w:rsidRDefault="00BD4E6C" w:rsidP="006C79D7">
      <w:pPr>
        <w:pStyle w:val="NormalWeb"/>
        <w:spacing w:before="0" w:beforeAutospacing="0" w:after="0" w:afterAutospacing="0" w:line="276" w:lineRule="auto"/>
        <w:jc w:val="both"/>
        <w:rPr>
          <w:i/>
          <w:lang w:val="lv-LV"/>
        </w:rPr>
      </w:pPr>
    </w:p>
    <w:p w:rsidR="001B1D36" w:rsidRDefault="001B1D36" w:rsidP="006C79D7">
      <w:pPr>
        <w:rPr>
          <w:rFonts w:ascii="Times New Roman" w:eastAsia="Times New Roman" w:hAnsi="Times New Roman" w:cs="Times New Roman"/>
          <w:b/>
          <w:bCs/>
          <w:kern w:val="28"/>
          <w:sz w:val="28"/>
          <w:szCs w:val="32"/>
        </w:rPr>
      </w:pPr>
      <w:bookmarkStart w:id="27" w:name="_Toc474219916"/>
      <w:bookmarkStart w:id="28" w:name="_Toc474220920"/>
      <w:bookmarkStart w:id="29" w:name="_Toc474410927"/>
      <w:r>
        <w:br w:type="page"/>
      </w:r>
    </w:p>
    <w:p w:rsidR="005C7C99" w:rsidRPr="00F24C19" w:rsidRDefault="00CF1C86" w:rsidP="009060F2">
      <w:pPr>
        <w:pStyle w:val="Heading2"/>
        <w:rPr>
          <w:sz w:val="28"/>
          <w:szCs w:val="28"/>
        </w:rPr>
      </w:pPr>
      <w:bookmarkStart w:id="30" w:name="_Toc505249165"/>
      <w:r w:rsidRPr="00F24C19">
        <w:rPr>
          <w:sz w:val="28"/>
          <w:szCs w:val="28"/>
        </w:rPr>
        <w:lastRenderedPageBreak/>
        <w:t>2. </w:t>
      </w:r>
      <w:r w:rsidR="005C7C99" w:rsidRPr="00F24C19">
        <w:rPr>
          <w:sz w:val="28"/>
          <w:szCs w:val="28"/>
        </w:rPr>
        <w:t>Biroja darbības rezultāti korupcijas novēršan</w:t>
      </w:r>
      <w:bookmarkEnd w:id="22"/>
      <w:r w:rsidR="005C7C99" w:rsidRPr="00F24C19">
        <w:rPr>
          <w:sz w:val="28"/>
          <w:szCs w:val="28"/>
        </w:rPr>
        <w:t>ā</w:t>
      </w:r>
      <w:bookmarkEnd w:id="27"/>
      <w:bookmarkEnd w:id="28"/>
      <w:bookmarkEnd w:id="29"/>
      <w:bookmarkEnd w:id="30"/>
    </w:p>
    <w:p w:rsidR="00CF1C86" w:rsidRPr="00F24C19" w:rsidRDefault="00CF1C86" w:rsidP="006C79D7">
      <w:pPr>
        <w:spacing w:after="0"/>
        <w:rPr>
          <w:sz w:val="28"/>
          <w:szCs w:val="28"/>
        </w:rPr>
      </w:pPr>
    </w:p>
    <w:p w:rsidR="005C7C99" w:rsidRPr="00F24C19" w:rsidRDefault="00CF1C86" w:rsidP="009060F2">
      <w:pPr>
        <w:pStyle w:val="Heading3"/>
        <w:spacing w:before="0" w:after="0" w:line="276" w:lineRule="auto"/>
        <w:jc w:val="center"/>
        <w:rPr>
          <w:rStyle w:val="Strong"/>
          <w:rFonts w:ascii="Times New Roman" w:hAnsi="Times New Roman"/>
          <w:b/>
          <w:sz w:val="28"/>
          <w:szCs w:val="28"/>
        </w:rPr>
      </w:pPr>
      <w:bookmarkStart w:id="31" w:name="_Toc282617327"/>
      <w:bookmarkStart w:id="32" w:name="_Toc474219917"/>
      <w:bookmarkStart w:id="33" w:name="_Toc474220921"/>
      <w:bookmarkStart w:id="34" w:name="_Toc474410928"/>
      <w:bookmarkStart w:id="35" w:name="_Toc505249166"/>
      <w:r w:rsidRPr="00F24C19">
        <w:rPr>
          <w:rStyle w:val="Strong"/>
          <w:rFonts w:ascii="Times New Roman" w:hAnsi="Times New Roman"/>
          <w:b/>
          <w:sz w:val="28"/>
          <w:szCs w:val="28"/>
        </w:rPr>
        <w:t>2.1. </w:t>
      </w:r>
      <w:r w:rsidR="005C7C99" w:rsidRPr="00F24C19">
        <w:rPr>
          <w:rStyle w:val="Strong"/>
          <w:rFonts w:ascii="Times New Roman" w:hAnsi="Times New Roman"/>
          <w:b/>
          <w:sz w:val="28"/>
          <w:szCs w:val="28"/>
        </w:rPr>
        <w:t xml:space="preserve">Pretkorupcijas politikas </w:t>
      </w:r>
      <w:bookmarkEnd w:id="31"/>
      <w:r w:rsidR="005C7C99" w:rsidRPr="00F24C19">
        <w:rPr>
          <w:rStyle w:val="Strong"/>
          <w:rFonts w:ascii="Times New Roman" w:hAnsi="Times New Roman"/>
          <w:b/>
          <w:sz w:val="28"/>
          <w:szCs w:val="28"/>
        </w:rPr>
        <w:t>izstrāde un ieviešana,</w:t>
      </w:r>
      <w:r w:rsidRPr="00F24C19">
        <w:rPr>
          <w:rStyle w:val="Strong"/>
          <w:rFonts w:ascii="Times New Roman" w:hAnsi="Times New Roman"/>
          <w:b/>
          <w:sz w:val="28"/>
          <w:szCs w:val="28"/>
        </w:rPr>
        <w:t xml:space="preserve"> </w:t>
      </w:r>
      <w:r w:rsidR="005C7C99" w:rsidRPr="00F24C19">
        <w:rPr>
          <w:rStyle w:val="Strong"/>
          <w:rFonts w:ascii="Times New Roman" w:hAnsi="Times New Roman"/>
          <w:b/>
          <w:sz w:val="28"/>
          <w:szCs w:val="28"/>
        </w:rPr>
        <w:t>izstrādātie attīstības plāno</w:t>
      </w:r>
      <w:r w:rsidRPr="00F24C19">
        <w:rPr>
          <w:rStyle w:val="Strong"/>
          <w:rFonts w:ascii="Times New Roman" w:hAnsi="Times New Roman"/>
          <w:b/>
          <w:sz w:val="28"/>
          <w:szCs w:val="28"/>
        </w:rPr>
        <w:t xml:space="preserve">šanas dokumenti un to izpilde, </w:t>
      </w:r>
      <w:r w:rsidR="005C7C99" w:rsidRPr="00F24C19">
        <w:rPr>
          <w:rStyle w:val="Strong"/>
          <w:rFonts w:ascii="Times New Roman" w:hAnsi="Times New Roman"/>
          <w:b/>
          <w:sz w:val="28"/>
          <w:szCs w:val="28"/>
        </w:rPr>
        <w:t>izstrādātie tiesību aktu projekti un to virzība</w:t>
      </w:r>
      <w:bookmarkEnd w:id="32"/>
      <w:bookmarkEnd w:id="33"/>
      <w:bookmarkEnd w:id="34"/>
      <w:bookmarkEnd w:id="35"/>
    </w:p>
    <w:p w:rsidR="00540589" w:rsidRPr="00540589" w:rsidRDefault="00540589" w:rsidP="00540589">
      <w:pPr>
        <w:spacing w:after="0"/>
      </w:pPr>
    </w:p>
    <w:p w:rsidR="0095516E" w:rsidRDefault="0095516E" w:rsidP="0095516E">
      <w:pPr>
        <w:spacing w:after="0"/>
        <w:ind w:firstLine="709"/>
        <w:jc w:val="both"/>
        <w:rPr>
          <w:rFonts w:ascii="Times New Roman" w:eastAsia="Calibri" w:hAnsi="Times New Roman" w:cs="Times New Roman"/>
          <w:sz w:val="24"/>
          <w:szCs w:val="24"/>
        </w:rPr>
      </w:pPr>
      <w:bookmarkStart w:id="36" w:name="_Toc474219918"/>
      <w:bookmarkStart w:id="37" w:name="_Toc474220922"/>
      <w:bookmarkStart w:id="38" w:name="_Toc474410929"/>
      <w:r w:rsidRPr="0095516E">
        <w:rPr>
          <w:rFonts w:ascii="Times New Roman" w:eastAsia="Calibri" w:hAnsi="Times New Roman" w:cs="Times New Roman"/>
          <w:sz w:val="24"/>
          <w:szCs w:val="24"/>
        </w:rPr>
        <w:t>Nolūkā panākt vienotu izpratni par pamatprasībām iekšējās kontroles sistēmas izveidošanai korupcijas un interešu konflikta riska novēršanai, pārskata periodā Birojs turpināja darbu pie vienota ārējā normatīvā akta publiskas personas institūcijām (t.sk. pašvaldībām un publiskas personas kapitālsabiedrībām) izstrādes. Un jau 2017.gada 27.oktobrī stājās spēkā Ministru kabineta noteikumi Nr.630 “Noteikumi par iekšējās kontroles sistēmas pamatprasībām korupcijas un interešu konflikta riska novēršanai publiskas personas institūcijā” (turpmāk ‒ Ministru kabineta noteikumi Nr.630).</w:t>
      </w:r>
    </w:p>
    <w:p w:rsidR="00E74018" w:rsidRPr="002D506B" w:rsidRDefault="00E74018" w:rsidP="006C79D7">
      <w:pPr>
        <w:spacing w:after="0"/>
        <w:ind w:firstLine="709"/>
        <w:jc w:val="both"/>
        <w:rPr>
          <w:rFonts w:ascii="Times New Roman" w:hAnsi="Times New Roman"/>
          <w:color w:val="000000" w:themeColor="text1"/>
          <w:sz w:val="24"/>
          <w:szCs w:val="24"/>
        </w:rPr>
      </w:pPr>
      <w:r w:rsidRPr="002D506B">
        <w:rPr>
          <w:rFonts w:ascii="Times New Roman" w:hAnsi="Times New Roman"/>
          <w:color w:val="000000" w:themeColor="text1"/>
          <w:sz w:val="24"/>
          <w:szCs w:val="24"/>
        </w:rPr>
        <w:t xml:space="preserve">Pieņemtie </w:t>
      </w:r>
      <w:r w:rsidR="00AD0E17">
        <w:rPr>
          <w:rFonts w:ascii="Times New Roman" w:hAnsi="Times New Roman"/>
          <w:color w:val="000000" w:themeColor="text1"/>
          <w:sz w:val="24"/>
          <w:szCs w:val="24"/>
        </w:rPr>
        <w:t xml:space="preserve">Ministru kabineta </w:t>
      </w:r>
      <w:r w:rsidRPr="002D506B">
        <w:rPr>
          <w:rFonts w:ascii="Times New Roman" w:hAnsi="Times New Roman"/>
          <w:color w:val="000000" w:themeColor="text1"/>
          <w:sz w:val="24"/>
          <w:szCs w:val="24"/>
        </w:rPr>
        <w:t xml:space="preserve">noteikumi </w:t>
      </w:r>
      <w:r w:rsidR="00AD0E17">
        <w:rPr>
          <w:rFonts w:ascii="Times New Roman" w:hAnsi="Times New Roman"/>
          <w:color w:val="000000" w:themeColor="text1"/>
          <w:sz w:val="24"/>
          <w:szCs w:val="24"/>
        </w:rPr>
        <w:t xml:space="preserve">Nr.630 </w:t>
      </w:r>
      <w:r w:rsidRPr="002D506B">
        <w:rPr>
          <w:rFonts w:ascii="Times New Roman" w:hAnsi="Times New Roman"/>
          <w:color w:val="000000" w:themeColor="text1"/>
          <w:sz w:val="24"/>
          <w:szCs w:val="24"/>
        </w:rPr>
        <w:t>ir secīgs solis iepriekšējam Biroja dar</w:t>
      </w:r>
      <w:r w:rsidR="008928F5">
        <w:rPr>
          <w:rFonts w:ascii="Times New Roman" w:hAnsi="Times New Roman"/>
          <w:color w:val="000000" w:themeColor="text1"/>
          <w:sz w:val="24"/>
          <w:szCs w:val="24"/>
        </w:rPr>
        <w:t>bam pretkorupcijas jomā, kad, izstrādājot Pamatnostādnes</w:t>
      </w:r>
      <w:r w:rsidRPr="002D506B">
        <w:rPr>
          <w:rFonts w:ascii="Times New Roman" w:hAnsi="Times New Roman"/>
          <w:color w:val="000000" w:themeColor="text1"/>
          <w:sz w:val="24"/>
          <w:szCs w:val="24"/>
        </w:rPr>
        <w:t>, kā viena no korupcijas un krāpšanas novēršanas un apkaro</w:t>
      </w:r>
      <w:r w:rsidR="007B27B6">
        <w:rPr>
          <w:rFonts w:ascii="Times New Roman" w:hAnsi="Times New Roman"/>
          <w:color w:val="000000" w:themeColor="text1"/>
          <w:sz w:val="24"/>
          <w:szCs w:val="24"/>
        </w:rPr>
        <w:t>šanas politikas prioritātēm</w:t>
      </w:r>
      <w:r w:rsidRPr="002D506B">
        <w:rPr>
          <w:rFonts w:ascii="Times New Roman" w:hAnsi="Times New Roman"/>
          <w:color w:val="000000" w:themeColor="text1"/>
          <w:sz w:val="24"/>
          <w:szCs w:val="24"/>
        </w:rPr>
        <w:t xml:space="preserve"> noteikta pretkorupcijas un krāpšanas apkarošanas politikas pārorientācija no ārējās kontroles uz resora un institūcijas iekšējo kontroli.</w:t>
      </w:r>
    </w:p>
    <w:p w:rsidR="00E74018" w:rsidRPr="002D506B" w:rsidRDefault="00E74018" w:rsidP="006C79D7">
      <w:pPr>
        <w:spacing w:after="0"/>
        <w:ind w:firstLine="709"/>
        <w:jc w:val="both"/>
        <w:rPr>
          <w:rFonts w:ascii="Times New Roman" w:hAnsi="Times New Roman"/>
          <w:color w:val="000000" w:themeColor="text1"/>
          <w:sz w:val="24"/>
          <w:szCs w:val="24"/>
        </w:rPr>
      </w:pPr>
      <w:r w:rsidRPr="002D506B">
        <w:rPr>
          <w:rFonts w:ascii="Times New Roman" w:hAnsi="Times New Roman"/>
          <w:color w:val="000000" w:themeColor="text1"/>
          <w:sz w:val="24"/>
          <w:szCs w:val="24"/>
        </w:rPr>
        <w:t xml:space="preserve">Savukārt, lai nodrošinātu Ministru kabineta noteikumu Nr.630 izpildi un veicinātu izpratni par iekšējās kontroles sistēmas pamatprasībām korupcijas un interešu konflikta riska </w:t>
      </w:r>
      <w:r w:rsidR="00AD0E17">
        <w:rPr>
          <w:rFonts w:ascii="Times New Roman" w:hAnsi="Times New Roman"/>
          <w:color w:val="000000" w:themeColor="text1"/>
          <w:sz w:val="24"/>
          <w:szCs w:val="24"/>
        </w:rPr>
        <w:t xml:space="preserve">novēršanai </w:t>
      </w:r>
      <w:r w:rsidRPr="002D506B">
        <w:rPr>
          <w:rFonts w:ascii="Times New Roman" w:hAnsi="Times New Roman"/>
          <w:color w:val="000000" w:themeColor="text1"/>
          <w:sz w:val="24"/>
          <w:szCs w:val="24"/>
        </w:rPr>
        <w:t>institūcijās, pārskata periodā Biroja priekšnieks izveidoja starpinstitūciju darba grupu vadlīniju (par iekšējās kontroles sistēmas pamatprasībām korupcijas un interešu konflikta riska novēršanai publiskas personas institūcijā) izstrādei. Vienlaikus minēto vadlīniju mērķis ir sniegt ieteikumus, metodisku palīdzību un piemērus institūcijām iekšējās kontroles sistēmas korupcijas riska novēršanai izveidei, pilnveidošanai un uzturēšanai.</w:t>
      </w:r>
    </w:p>
    <w:p w:rsidR="00412CC1" w:rsidRDefault="00412CC1" w:rsidP="006C79D7">
      <w:pPr>
        <w:pStyle w:val="ListParagraph"/>
        <w:tabs>
          <w:tab w:val="left" w:pos="993"/>
        </w:tabs>
        <w:autoSpaceDE w:val="0"/>
        <w:autoSpaceDN w:val="0"/>
        <w:adjustRightInd w:val="0"/>
        <w:spacing w:after="0"/>
        <w:ind w:left="0" w:firstLine="709"/>
        <w:jc w:val="both"/>
        <w:rPr>
          <w:rFonts w:ascii="Times New Roman" w:hAnsi="Times New Roman"/>
          <w:sz w:val="24"/>
          <w:szCs w:val="24"/>
        </w:rPr>
      </w:pPr>
      <w:r w:rsidRPr="00412CC1">
        <w:rPr>
          <w:rFonts w:ascii="Times New Roman" w:hAnsi="Times New Roman"/>
          <w:sz w:val="24"/>
          <w:szCs w:val="24"/>
        </w:rPr>
        <w:t xml:space="preserve">Izpildot Korupcijas novēršanas un apkarošanas biroja likumā noteikto, Birojs </w:t>
      </w:r>
      <w:r w:rsidR="00AD0E17">
        <w:rPr>
          <w:rFonts w:ascii="Times New Roman" w:hAnsi="Times New Roman"/>
          <w:sz w:val="24"/>
          <w:szCs w:val="24"/>
        </w:rPr>
        <w:t>pārskata gadā</w:t>
      </w:r>
      <w:r w:rsidRPr="00412CC1">
        <w:rPr>
          <w:rFonts w:ascii="Times New Roman" w:hAnsi="Times New Roman"/>
          <w:sz w:val="24"/>
          <w:szCs w:val="24"/>
        </w:rPr>
        <w:t xml:space="preserve"> ir izstrādājis </w:t>
      </w:r>
      <w:r>
        <w:rPr>
          <w:rFonts w:ascii="Times New Roman" w:hAnsi="Times New Roman"/>
          <w:sz w:val="24"/>
          <w:szCs w:val="24"/>
        </w:rPr>
        <w:t xml:space="preserve">šādus </w:t>
      </w:r>
      <w:r w:rsidRPr="00412CC1">
        <w:rPr>
          <w:rFonts w:ascii="Times New Roman" w:hAnsi="Times New Roman"/>
          <w:sz w:val="24"/>
          <w:szCs w:val="24"/>
        </w:rPr>
        <w:t>a</w:t>
      </w:r>
      <w:r>
        <w:rPr>
          <w:rFonts w:ascii="Times New Roman" w:hAnsi="Times New Roman"/>
          <w:sz w:val="24"/>
          <w:szCs w:val="24"/>
        </w:rPr>
        <w:t>ttīstības plānošanas dokumentus, informatīvos ziņojumus un tiesību aktu projektus:</w:t>
      </w:r>
    </w:p>
    <w:p w:rsidR="00AD0E17" w:rsidRPr="006C79D7" w:rsidRDefault="00AD0E17" w:rsidP="006C79D7">
      <w:pPr>
        <w:pStyle w:val="ListParagraph"/>
        <w:widowControl w:val="0"/>
        <w:numPr>
          <w:ilvl w:val="0"/>
          <w:numId w:val="4"/>
        </w:numPr>
        <w:tabs>
          <w:tab w:val="left" w:pos="851"/>
          <w:tab w:val="left" w:pos="993"/>
        </w:tabs>
        <w:ind w:left="0" w:firstLine="709"/>
        <w:jc w:val="both"/>
        <w:rPr>
          <w:rFonts w:ascii="Times New Roman" w:eastAsia="Times New Roman" w:hAnsi="Times New Roman" w:cs="Times New Roman"/>
          <w:sz w:val="24"/>
          <w:szCs w:val="24"/>
          <w:lang w:eastAsia="lv-LV"/>
        </w:rPr>
      </w:pPr>
      <w:r w:rsidRPr="006C79D7">
        <w:rPr>
          <w:rFonts w:ascii="Times New Roman" w:eastAsia="Times New Roman" w:hAnsi="Times New Roman" w:cs="Times New Roman"/>
          <w:sz w:val="24"/>
          <w:szCs w:val="24"/>
          <w:lang w:eastAsia="lv-LV"/>
        </w:rPr>
        <w:t xml:space="preserve">Informatīvo starpziņojumu “Par Korupcijas novēršanas un apkarošanas biroja kompetenci attiecībā uz tiesībām izmeklēt </w:t>
      </w:r>
      <w:proofErr w:type="spellStart"/>
      <w:r w:rsidRPr="006C79D7">
        <w:rPr>
          <w:rFonts w:ascii="Times New Roman" w:eastAsia="Times New Roman" w:hAnsi="Times New Roman" w:cs="Times New Roman"/>
          <w:sz w:val="24"/>
          <w:szCs w:val="24"/>
          <w:lang w:eastAsia="lv-LV"/>
        </w:rPr>
        <w:t>koruptīvos</w:t>
      </w:r>
      <w:proofErr w:type="spellEnd"/>
      <w:r w:rsidRPr="006C79D7">
        <w:rPr>
          <w:rFonts w:ascii="Times New Roman" w:eastAsia="Times New Roman" w:hAnsi="Times New Roman" w:cs="Times New Roman"/>
          <w:sz w:val="24"/>
          <w:szCs w:val="24"/>
          <w:lang w:eastAsia="lv-LV"/>
        </w:rPr>
        <w:t xml:space="preserve"> noziedzīgos nodarījumus privātajā sektorā” (TA – 665) (2017.gada 31.martā iesniegts Ministru kabinetā) un informatīvo galaziņojumu “Par Korupcijas novēršanas un apkarošanas biroja kompetenci attiecībā uz tiesībām izmeklēt </w:t>
      </w:r>
      <w:proofErr w:type="spellStart"/>
      <w:r w:rsidRPr="006C79D7">
        <w:rPr>
          <w:rFonts w:ascii="Times New Roman" w:eastAsia="Times New Roman" w:hAnsi="Times New Roman" w:cs="Times New Roman"/>
          <w:sz w:val="24"/>
          <w:szCs w:val="24"/>
          <w:lang w:eastAsia="lv-LV"/>
        </w:rPr>
        <w:t>koruptīvos</w:t>
      </w:r>
      <w:proofErr w:type="spellEnd"/>
      <w:r w:rsidRPr="006C79D7">
        <w:rPr>
          <w:rFonts w:ascii="Times New Roman" w:eastAsia="Times New Roman" w:hAnsi="Times New Roman" w:cs="Times New Roman"/>
          <w:sz w:val="24"/>
          <w:szCs w:val="24"/>
          <w:lang w:eastAsia="lv-LV"/>
        </w:rPr>
        <w:t xml:space="preserve"> noziedzīgos nodarījumus privātajā sektorā” (TA</w:t>
      </w:r>
      <w:r w:rsidR="00DD02E3">
        <w:rPr>
          <w:rFonts w:ascii="Times New Roman" w:eastAsia="Times New Roman" w:hAnsi="Times New Roman" w:cs="Times New Roman"/>
          <w:sz w:val="24"/>
          <w:szCs w:val="24"/>
          <w:lang w:eastAsia="lv-LV"/>
        </w:rPr>
        <w:t xml:space="preserve"> – </w:t>
      </w:r>
      <w:r w:rsidRPr="006C79D7">
        <w:rPr>
          <w:rFonts w:ascii="Times New Roman" w:eastAsia="Times New Roman" w:hAnsi="Times New Roman" w:cs="Times New Roman"/>
          <w:sz w:val="24"/>
          <w:szCs w:val="24"/>
          <w:lang w:eastAsia="lv-LV"/>
        </w:rPr>
        <w:t xml:space="preserve">2092) (2017.gada 14.decembrī iesniegts Ministru kabinetā), galaziņojumā secinot, ka </w:t>
      </w:r>
      <w:r w:rsidR="00EC3057">
        <w:rPr>
          <w:rFonts w:ascii="Times New Roman" w:eastAsia="Times New Roman" w:hAnsi="Times New Roman" w:cs="Times New Roman"/>
          <w:sz w:val="24"/>
          <w:szCs w:val="24"/>
          <w:lang w:eastAsia="lv-LV"/>
        </w:rPr>
        <w:t xml:space="preserve">Birojam jāturpina izpēte par iespējamo Biroja kompetences paplašināšanu </w:t>
      </w:r>
      <w:r w:rsidR="00EC3057" w:rsidRPr="000E7938">
        <w:rPr>
          <w:rFonts w:ascii="Times New Roman" w:hAnsi="Times New Roman" w:cs="Times New Roman"/>
          <w:sz w:val="24"/>
          <w:szCs w:val="24"/>
        </w:rPr>
        <w:t xml:space="preserve">attiecībā uz tiesībām izmeklēt </w:t>
      </w:r>
      <w:proofErr w:type="spellStart"/>
      <w:r w:rsidR="00EC3057" w:rsidRPr="000E7938">
        <w:rPr>
          <w:rFonts w:ascii="Times New Roman" w:hAnsi="Times New Roman" w:cs="Times New Roman"/>
          <w:sz w:val="24"/>
          <w:szCs w:val="24"/>
        </w:rPr>
        <w:t>koruptīv</w:t>
      </w:r>
      <w:r w:rsidR="00EC3057">
        <w:rPr>
          <w:rFonts w:ascii="Times New Roman" w:hAnsi="Times New Roman" w:cs="Times New Roman"/>
          <w:sz w:val="24"/>
          <w:szCs w:val="24"/>
        </w:rPr>
        <w:t>o</w:t>
      </w:r>
      <w:r w:rsidR="00EC3057" w:rsidRPr="000E7938">
        <w:rPr>
          <w:rFonts w:ascii="Times New Roman" w:hAnsi="Times New Roman" w:cs="Times New Roman"/>
          <w:sz w:val="24"/>
          <w:szCs w:val="24"/>
        </w:rPr>
        <w:t>s</w:t>
      </w:r>
      <w:proofErr w:type="spellEnd"/>
      <w:r w:rsidR="00EC3057" w:rsidRPr="000E7938">
        <w:rPr>
          <w:rFonts w:ascii="Times New Roman" w:hAnsi="Times New Roman" w:cs="Times New Roman"/>
          <w:sz w:val="24"/>
          <w:szCs w:val="24"/>
        </w:rPr>
        <w:t xml:space="preserve"> noziedzīg</w:t>
      </w:r>
      <w:r w:rsidR="00EC3057">
        <w:rPr>
          <w:rFonts w:ascii="Times New Roman" w:hAnsi="Times New Roman" w:cs="Times New Roman"/>
          <w:sz w:val="24"/>
          <w:szCs w:val="24"/>
        </w:rPr>
        <w:t>o</w:t>
      </w:r>
      <w:r w:rsidR="00EC3057" w:rsidRPr="000E7938">
        <w:rPr>
          <w:rFonts w:ascii="Times New Roman" w:hAnsi="Times New Roman" w:cs="Times New Roman"/>
          <w:sz w:val="24"/>
          <w:szCs w:val="24"/>
        </w:rPr>
        <w:t>s nodarījumus privātajā sekto</w:t>
      </w:r>
      <w:r w:rsidR="00EC3057">
        <w:rPr>
          <w:rFonts w:ascii="Times New Roman" w:hAnsi="Times New Roman" w:cs="Times New Roman"/>
          <w:sz w:val="24"/>
          <w:szCs w:val="24"/>
        </w:rPr>
        <w:t xml:space="preserve">rā. </w:t>
      </w:r>
    </w:p>
    <w:p w:rsidR="00AD0E17" w:rsidRPr="006C79D7" w:rsidRDefault="00AD0E17" w:rsidP="006C79D7">
      <w:pPr>
        <w:pStyle w:val="ListParagraph"/>
        <w:widowControl w:val="0"/>
        <w:numPr>
          <w:ilvl w:val="0"/>
          <w:numId w:val="4"/>
        </w:numPr>
        <w:tabs>
          <w:tab w:val="left" w:pos="851"/>
          <w:tab w:val="left" w:pos="993"/>
        </w:tabs>
        <w:ind w:left="0" w:firstLine="709"/>
        <w:jc w:val="both"/>
        <w:rPr>
          <w:rFonts w:ascii="Times New Roman" w:eastAsia="Times New Roman" w:hAnsi="Times New Roman" w:cs="Times New Roman"/>
          <w:sz w:val="24"/>
          <w:szCs w:val="24"/>
          <w:lang w:eastAsia="lv-LV"/>
        </w:rPr>
      </w:pPr>
      <w:r w:rsidRPr="006C79D7">
        <w:rPr>
          <w:rFonts w:ascii="Times New Roman" w:eastAsia="Times New Roman" w:hAnsi="Times New Roman" w:cs="Times New Roman"/>
          <w:sz w:val="24"/>
          <w:szCs w:val="24"/>
          <w:lang w:eastAsia="lv-LV"/>
        </w:rPr>
        <w:t>Informatīvo ziņojumu “Par Korupcijas novēršanas un apkarošanas pamatnostādnēs 2015.–2020.gadam ietvertā uzdevuma Nr.11.1 izpildi” (2017.gada 8.maijā iesniegts Ministru kabinetā). Tajā iekļauta informācija par Apvienoto Nāciju Organizācijas (ANO) rekomendāciju izpildi, atspoguļojot atbilstību ANO Pretkorupcijas konvencijai un secinot, ka Saeimas pieņemtie grozījumi likuma “Par Krimināllikuma spēkā stāšanās un piemērošanas kārtību” 23.pantā novērsa neskaidrības, kas pastāvēja definējot tādu noziedzīgu nodarījumu kaitīgās sekas kā būtisks kaitējums.</w:t>
      </w:r>
    </w:p>
    <w:p w:rsidR="00AD0E17" w:rsidRPr="006C79D7" w:rsidRDefault="00AD0E17" w:rsidP="006C79D7">
      <w:pPr>
        <w:pStyle w:val="ListParagraph"/>
        <w:widowControl w:val="0"/>
        <w:numPr>
          <w:ilvl w:val="0"/>
          <w:numId w:val="4"/>
        </w:numPr>
        <w:tabs>
          <w:tab w:val="left" w:pos="851"/>
          <w:tab w:val="left" w:pos="993"/>
        </w:tabs>
        <w:ind w:left="0" w:firstLine="709"/>
        <w:jc w:val="both"/>
        <w:rPr>
          <w:rFonts w:ascii="Times New Roman" w:eastAsia="Times New Roman" w:hAnsi="Times New Roman" w:cs="Times New Roman"/>
          <w:sz w:val="24"/>
          <w:szCs w:val="24"/>
          <w:lang w:eastAsia="lv-LV"/>
        </w:rPr>
      </w:pPr>
      <w:r w:rsidRPr="006C79D7">
        <w:rPr>
          <w:rFonts w:ascii="Times New Roman" w:eastAsia="Times New Roman" w:hAnsi="Times New Roman" w:cs="Times New Roman"/>
          <w:color w:val="000000" w:themeColor="text1"/>
          <w:sz w:val="24"/>
          <w:szCs w:val="24"/>
          <w:lang w:eastAsia="lv-LV"/>
        </w:rPr>
        <w:t xml:space="preserve">Ministru kabineta noteikumu projektu “Kārtība, kādā izveido komisiju, lai izvērtētu </w:t>
      </w:r>
      <w:r w:rsidRPr="006C79D7">
        <w:rPr>
          <w:rFonts w:ascii="Times New Roman" w:eastAsia="Times New Roman" w:hAnsi="Times New Roman" w:cs="Times New Roman"/>
          <w:color w:val="000000" w:themeColor="text1"/>
          <w:sz w:val="24"/>
          <w:szCs w:val="24"/>
          <w:lang w:eastAsia="lv-LV"/>
        </w:rPr>
        <w:lastRenderedPageBreak/>
        <w:t>iemeslus Korupcijas novēršanas un apkarošanas biroja priekšnieka atbrīvošanai no amata” (2017.gada 4.jūlijā tika pieņemts Ministru kabinetā).</w:t>
      </w:r>
    </w:p>
    <w:p w:rsidR="00AD0E17" w:rsidRPr="006C79D7" w:rsidRDefault="00AD0E17" w:rsidP="006C79D7">
      <w:pPr>
        <w:pStyle w:val="ListParagraph"/>
        <w:widowControl w:val="0"/>
        <w:numPr>
          <w:ilvl w:val="0"/>
          <w:numId w:val="4"/>
        </w:numPr>
        <w:tabs>
          <w:tab w:val="left" w:pos="851"/>
          <w:tab w:val="left" w:pos="993"/>
        </w:tabs>
        <w:ind w:left="0" w:firstLine="709"/>
        <w:jc w:val="both"/>
        <w:rPr>
          <w:rFonts w:ascii="Times New Roman" w:eastAsia="Times New Roman" w:hAnsi="Times New Roman" w:cs="Times New Roman"/>
          <w:sz w:val="24"/>
          <w:szCs w:val="24"/>
          <w:lang w:eastAsia="lv-LV"/>
        </w:rPr>
      </w:pPr>
      <w:r w:rsidRPr="006C79D7">
        <w:rPr>
          <w:rFonts w:ascii="Times New Roman" w:eastAsia="Times New Roman" w:hAnsi="Times New Roman" w:cs="Times New Roman"/>
          <w:color w:val="000000" w:themeColor="text1"/>
          <w:sz w:val="24"/>
          <w:szCs w:val="24"/>
          <w:lang w:eastAsia="lv-LV"/>
        </w:rPr>
        <w:t>Likumprojektu “Grozījumi Korupcijas novēršanas un apkarošanas biroja likumā” (VSS-371), paplašinot deleģējumu Ministru kabinetam, proti, paredzot, ka komisijas izveides, darbības un lēmumu pieņemšanas kārtību nosaka Ministru kabinets (Saeimā pieņemts 2017.gada 7.decembrī un stājies spēkā 2018.gada 3.janvārī).</w:t>
      </w:r>
    </w:p>
    <w:p w:rsidR="00AD0E17" w:rsidRPr="006C79D7" w:rsidRDefault="00AD0E17" w:rsidP="006C79D7">
      <w:pPr>
        <w:pStyle w:val="ListParagraph"/>
        <w:widowControl w:val="0"/>
        <w:numPr>
          <w:ilvl w:val="0"/>
          <w:numId w:val="4"/>
        </w:numPr>
        <w:tabs>
          <w:tab w:val="left" w:pos="851"/>
          <w:tab w:val="left" w:pos="993"/>
        </w:tabs>
        <w:ind w:left="0" w:firstLine="709"/>
        <w:jc w:val="both"/>
        <w:rPr>
          <w:rFonts w:ascii="Times New Roman" w:eastAsia="Times New Roman" w:hAnsi="Times New Roman" w:cs="Times New Roman"/>
          <w:sz w:val="24"/>
          <w:szCs w:val="24"/>
          <w:lang w:eastAsia="lv-LV"/>
        </w:rPr>
      </w:pPr>
      <w:r w:rsidRPr="006C79D7">
        <w:rPr>
          <w:rFonts w:ascii="Times New Roman" w:eastAsia="Times New Roman" w:hAnsi="Times New Roman" w:cs="Times New Roman"/>
          <w:bCs/>
          <w:sz w:val="24"/>
          <w:szCs w:val="24"/>
          <w:lang w:eastAsia="lv-LV"/>
        </w:rPr>
        <w:t>Ministru kabineta</w:t>
      </w:r>
      <w:r w:rsidRPr="006C79D7">
        <w:rPr>
          <w:rFonts w:ascii="Times New Roman" w:eastAsia="Times New Roman" w:hAnsi="Times New Roman" w:cs="Times New Roman"/>
          <w:sz w:val="24"/>
          <w:szCs w:val="24"/>
          <w:lang w:eastAsia="lv-LV"/>
        </w:rPr>
        <w:t xml:space="preserve"> rīkojuma projektu “Grozījumi Ministru kabineta 2015.gada 16.jūlija rīkojumā Nr. 393 “Par Korupcijas novēršanas un apkarošanas pamatnostādnēm 2015.–2020.gadam”” (VSS-342). Starpinstitūciju saskaņošanas procesā panākta vienošanās, ka Pamatnostādnēs iekļauto uzdevumu pārskatīšanas un uzdevumu termiņu pagarināšanas nepieciešamība tiks analizēta, Birojam sagatavojot Pamatnostādņu īstenošanas starpposma novērtējumu (plānots sagatavot un iesniegt noteiktā kārtībā Ministru kabinetā līdz 2018.gada 1.novembrim.).</w:t>
      </w:r>
    </w:p>
    <w:p w:rsidR="00AD0E17" w:rsidRPr="006C79D7" w:rsidRDefault="00AD0E17" w:rsidP="006C79D7">
      <w:pPr>
        <w:pStyle w:val="ListParagraph"/>
        <w:widowControl w:val="0"/>
        <w:numPr>
          <w:ilvl w:val="0"/>
          <w:numId w:val="4"/>
        </w:numPr>
        <w:tabs>
          <w:tab w:val="left" w:pos="851"/>
          <w:tab w:val="left" w:pos="993"/>
        </w:tabs>
        <w:ind w:left="0" w:firstLine="709"/>
        <w:jc w:val="both"/>
        <w:rPr>
          <w:rFonts w:ascii="Times New Roman" w:eastAsia="Times New Roman" w:hAnsi="Times New Roman" w:cs="Times New Roman"/>
          <w:sz w:val="24"/>
          <w:szCs w:val="24"/>
          <w:lang w:eastAsia="lv-LV"/>
        </w:rPr>
      </w:pPr>
      <w:r w:rsidRPr="006C79D7">
        <w:rPr>
          <w:rFonts w:ascii="Times New Roman" w:eastAsia="Times New Roman" w:hAnsi="Times New Roman" w:cs="Times New Roman"/>
          <w:sz w:val="24"/>
          <w:szCs w:val="24"/>
          <w:lang w:eastAsia="lv-LV"/>
        </w:rPr>
        <w:t>Likumprojektu “Grozījumi likumā “Par interešu konflikta novēršanu valsts amatpersonu darbībā”” (VSS-66)</w:t>
      </w:r>
      <w:r w:rsidRPr="006C79D7">
        <w:rPr>
          <w:rStyle w:val="FootnoteReference"/>
          <w:rFonts w:ascii="Times New Roman" w:eastAsia="Times New Roman" w:hAnsi="Times New Roman" w:cs="Times New Roman"/>
          <w:sz w:val="24"/>
          <w:szCs w:val="24"/>
          <w:lang w:eastAsia="lv-LV"/>
        </w:rPr>
        <w:footnoteReference w:id="1"/>
      </w:r>
      <w:r w:rsidRPr="006C79D7">
        <w:rPr>
          <w:rFonts w:ascii="Times New Roman" w:eastAsia="Times New Roman" w:hAnsi="Times New Roman" w:cs="Times New Roman"/>
          <w:sz w:val="24"/>
          <w:szCs w:val="24"/>
          <w:lang w:eastAsia="lv-LV"/>
        </w:rPr>
        <w:t xml:space="preserve">. </w:t>
      </w:r>
    </w:p>
    <w:p w:rsidR="00AD0E17" w:rsidRPr="006C79D7" w:rsidRDefault="00AD0E17" w:rsidP="006C79D7">
      <w:pPr>
        <w:pStyle w:val="ListParagraph"/>
        <w:widowControl w:val="0"/>
        <w:numPr>
          <w:ilvl w:val="0"/>
          <w:numId w:val="4"/>
        </w:numPr>
        <w:tabs>
          <w:tab w:val="left" w:pos="851"/>
          <w:tab w:val="left" w:pos="993"/>
        </w:tabs>
        <w:ind w:left="0" w:firstLine="709"/>
        <w:jc w:val="both"/>
        <w:rPr>
          <w:rFonts w:ascii="Times New Roman" w:eastAsia="Times New Roman" w:hAnsi="Times New Roman" w:cs="Times New Roman"/>
          <w:sz w:val="24"/>
          <w:szCs w:val="24"/>
          <w:lang w:eastAsia="lv-LV"/>
        </w:rPr>
      </w:pPr>
      <w:r w:rsidRPr="006C79D7">
        <w:rPr>
          <w:rFonts w:ascii="Times New Roman" w:eastAsia="Times New Roman" w:hAnsi="Times New Roman" w:cs="Times New Roman"/>
          <w:sz w:val="24"/>
          <w:szCs w:val="24"/>
          <w:lang w:eastAsia="lv-LV"/>
        </w:rPr>
        <w:t>Ministru kabineta noteikumu projektu “Grozījumi Ministru kabineta 2005.gada 22.marta noteikumos Nr.201 “Korupcijas novēršanas un apkarošanas biroja nolikums”” (2017.gada 3.oktobrī pieņemts Ministru kabinetā).</w:t>
      </w:r>
    </w:p>
    <w:p w:rsidR="00AD0E17" w:rsidRPr="006C79D7" w:rsidRDefault="00AD0E17" w:rsidP="006C79D7">
      <w:pPr>
        <w:pStyle w:val="ListParagraph"/>
        <w:widowControl w:val="0"/>
        <w:numPr>
          <w:ilvl w:val="0"/>
          <w:numId w:val="4"/>
        </w:numPr>
        <w:tabs>
          <w:tab w:val="left" w:pos="851"/>
          <w:tab w:val="left" w:pos="993"/>
        </w:tabs>
        <w:ind w:left="0" w:firstLine="709"/>
        <w:jc w:val="both"/>
        <w:rPr>
          <w:rFonts w:ascii="Times New Roman" w:eastAsia="Times New Roman" w:hAnsi="Times New Roman" w:cs="Times New Roman"/>
          <w:sz w:val="24"/>
          <w:szCs w:val="24"/>
          <w:lang w:eastAsia="lv-LV"/>
        </w:rPr>
      </w:pPr>
      <w:r w:rsidRPr="006C79D7">
        <w:rPr>
          <w:rFonts w:ascii="Times New Roman" w:eastAsia="Times New Roman" w:hAnsi="Times New Roman" w:cs="Times New Roman"/>
          <w:sz w:val="24"/>
          <w:szCs w:val="24"/>
          <w:lang w:eastAsia="lv-LV"/>
        </w:rPr>
        <w:t>Korupcijas novēršanas un apkarošanas biroja darbības stratēģiju 2018.</w:t>
      </w:r>
      <w:r w:rsidR="00DD02E3">
        <w:rPr>
          <w:rFonts w:ascii="Times New Roman" w:eastAsia="Times New Roman" w:hAnsi="Times New Roman" w:cs="Times New Roman"/>
          <w:sz w:val="24"/>
          <w:szCs w:val="24"/>
          <w:lang w:eastAsia="lv-LV"/>
        </w:rPr>
        <w:t>–</w:t>
      </w:r>
      <w:r w:rsidRPr="006C79D7">
        <w:rPr>
          <w:rFonts w:ascii="Times New Roman" w:eastAsia="Times New Roman" w:hAnsi="Times New Roman" w:cs="Times New Roman"/>
          <w:sz w:val="24"/>
          <w:szCs w:val="24"/>
          <w:lang w:eastAsia="lv-LV"/>
        </w:rPr>
        <w:t>2019.gadam (apstiprināta ar Ministru prezidenta 2018.gada 29.janvāra rīkojumu Nr.25).</w:t>
      </w:r>
    </w:p>
    <w:p w:rsidR="006C79D7" w:rsidRDefault="006C79D7" w:rsidP="006C79D7">
      <w:pPr>
        <w:pStyle w:val="ListParagraph"/>
        <w:tabs>
          <w:tab w:val="left" w:pos="993"/>
        </w:tabs>
        <w:autoSpaceDE w:val="0"/>
        <w:autoSpaceDN w:val="0"/>
        <w:adjustRightInd w:val="0"/>
        <w:spacing w:after="0"/>
        <w:ind w:left="0" w:firstLine="709"/>
        <w:jc w:val="both"/>
        <w:rPr>
          <w:rFonts w:ascii="Times New Roman" w:hAnsi="Times New Roman"/>
          <w:sz w:val="24"/>
          <w:szCs w:val="24"/>
        </w:rPr>
      </w:pPr>
      <w:r w:rsidRPr="006C79D7">
        <w:rPr>
          <w:rFonts w:ascii="Times New Roman" w:hAnsi="Times New Roman"/>
          <w:sz w:val="24"/>
          <w:szCs w:val="24"/>
        </w:rPr>
        <w:t>Birojs 2017.gadā ir veicis korupcijas risku analīzi 1134 Valsts sekretāru sanāksmēs pieteiktajos tiesību aktu projektos. Atbilstoši risku analīzē konstatētajam, Birojs ir sniedzis 88 atzinumus par Valsts sekretāru sanāksmē izsludinātajiem citu institūciju izstrādātājiem tiesību aktu projektiem nolūkā izskaust tajos korupcijas, interešu konflikta, noziedzīgi iegūtu līdzekļu legalizācijas un publiskas personas finanšu līdzekļu un mantas izšķērdēšanas veicinošas normas, izsakot 189 iebildumus un 32 priekšlikumus, tajā skaitā par</w:t>
      </w:r>
      <w:r w:rsidRPr="00412CC1">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t>1. </w:t>
      </w:r>
      <w:r w:rsidRPr="009B1084">
        <w:rPr>
          <w:rFonts w:ascii="Times New Roman" w:hAnsi="Times New Roman"/>
          <w:sz w:val="24"/>
          <w:szCs w:val="24"/>
        </w:rPr>
        <w:t>Ministru kabineta noteikumu projektu “Noteikumi par iepirkuma procedūru un tās piemērošanas kārtību pasūtītāja finansētiem projektiem” (VSS-54)</w:t>
      </w:r>
      <w:r>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t>2. </w:t>
      </w:r>
      <w:r w:rsidRPr="009B1084">
        <w:rPr>
          <w:rFonts w:ascii="Times New Roman" w:hAnsi="Times New Roman"/>
          <w:sz w:val="24"/>
          <w:szCs w:val="24"/>
        </w:rPr>
        <w:t>Ministru kabineta noteikumu projektu “Grozījumi Ministru kabineta 2011.gada 17.maija noteikumos Nr.378 “Zāļu reklamēšanas kārtība un kārtība, kādā zāļu ražotājs ir tiesīgs nodot ārstiem bezmaksas zāļu paraugu”” (VSS-111)</w:t>
      </w:r>
      <w:r>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t>3. </w:t>
      </w:r>
      <w:r w:rsidRPr="009B1084">
        <w:rPr>
          <w:rFonts w:ascii="Times New Roman" w:hAnsi="Times New Roman"/>
          <w:sz w:val="24"/>
          <w:szCs w:val="24"/>
        </w:rPr>
        <w:t>Ministru kabineta noteikumu projektu “Grozījumi Ministru kabineta 2012.gada 18.decembra noteikumos Nr.889 “Noteikumi par atmežošanas kompensācijas noteikšanas kritērijiem, aprēķināšanas un atlīdzināšanas kārtību”” (VSS-240)</w:t>
      </w:r>
      <w:r>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t>4. </w:t>
      </w:r>
      <w:r w:rsidRPr="009B1084">
        <w:rPr>
          <w:rFonts w:ascii="Times New Roman" w:hAnsi="Times New Roman"/>
          <w:sz w:val="24"/>
          <w:szCs w:val="24"/>
        </w:rPr>
        <w:t>Ministru kabineta rīkojuma projektu “Par valsts nekustamo īpašumu pārdošanu” (VSS-330)</w:t>
      </w:r>
      <w:r>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t>5. </w:t>
      </w:r>
      <w:r w:rsidRPr="009B1084">
        <w:rPr>
          <w:rFonts w:ascii="Times New Roman" w:hAnsi="Times New Roman"/>
          <w:sz w:val="24"/>
          <w:szCs w:val="24"/>
        </w:rPr>
        <w:t>Ministru kabineta noteikumu projektu “Vispārīgie būvnoteikumi” (VSS-353)</w:t>
      </w:r>
      <w:r>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t>6. I</w:t>
      </w:r>
      <w:r w:rsidRPr="009B1084">
        <w:rPr>
          <w:rFonts w:ascii="Times New Roman" w:hAnsi="Times New Roman"/>
          <w:sz w:val="24"/>
          <w:szCs w:val="24"/>
        </w:rPr>
        <w:t>nformatīvā ziņojuma projektu “Par nepieciešamību precizēt tiesisko regulējumu ēnu ekonomikas ierobežošanai” (VSS-408)</w:t>
      </w:r>
      <w:r>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t>7. </w:t>
      </w:r>
      <w:r w:rsidRPr="009B1084">
        <w:rPr>
          <w:rFonts w:ascii="Times New Roman" w:hAnsi="Times New Roman"/>
          <w:sz w:val="24"/>
          <w:szCs w:val="24"/>
        </w:rPr>
        <w:t>Ministru kabineta noteikumu projektu “Muitas noliktavu, pagaidu uzglabāšanas un brīvo zonu noteikumi” (VSS-539)</w:t>
      </w:r>
      <w:r>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lastRenderedPageBreak/>
        <w:t>8. </w:t>
      </w:r>
      <w:r w:rsidRPr="009B1084">
        <w:rPr>
          <w:rFonts w:ascii="Times New Roman" w:hAnsi="Times New Roman"/>
          <w:sz w:val="24"/>
          <w:szCs w:val="24"/>
        </w:rPr>
        <w:t>Ministru kabineta noteikumu projektu “Grozījumi Ministru kabineta 2014.gada 2.decembra noteikumos Nr.748 “Noteikumi par darījumiem ar lauksaimniecības zemi”” (VSS-691)</w:t>
      </w:r>
      <w:r>
        <w:rPr>
          <w:rFonts w:ascii="Times New Roman" w:hAnsi="Times New Roman"/>
          <w:sz w:val="24"/>
          <w:szCs w:val="24"/>
        </w:rPr>
        <w:t>.</w:t>
      </w:r>
    </w:p>
    <w:p w:rsidR="006C79D7" w:rsidRPr="009B1084" w:rsidRDefault="006C79D7" w:rsidP="006C79D7">
      <w:pPr>
        <w:pStyle w:val="ListParagraph"/>
        <w:tabs>
          <w:tab w:val="left" w:pos="993"/>
        </w:tabs>
        <w:spacing w:after="0"/>
        <w:ind w:left="0" w:firstLine="709"/>
        <w:jc w:val="both"/>
        <w:rPr>
          <w:rFonts w:ascii="Times New Roman" w:hAnsi="Times New Roman"/>
          <w:sz w:val="24"/>
          <w:szCs w:val="24"/>
        </w:rPr>
      </w:pPr>
      <w:r>
        <w:rPr>
          <w:rFonts w:ascii="Times New Roman" w:hAnsi="Times New Roman"/>
          <w:sz w:val="24"/>
          <w:szCs w:val="24"/>
        </w:rPr>
        <w:t>9</w:t>
      </w:r>
      <w:r w:rsidRPr="009B1084">
        <w:rPr>
          <w:rFonts w:ascii="Times New Roman" w:hAnsi="Times New Roman"/>
          <w:sz w:val="24"/>
          <w:szCs w:val="24"/>
        </w:rPr>
        <w:t>.</w:t>
      </w:r>
      <w:r>
        <w:rPr>
          <w:rFonts w:ascii="Times New Roman" w:hAnsi="Times New Roman"/>
          <w:sz w:val="24"/>
          <w:szCs w:val="24"/>
        </w:rPr>
        <w:t> L</w:t>
      </w:r>
      <w:r w:rsidRPr="009B1084">
        <w:rPr>
          <w:rFonts w:ascii="Times New Roman" w:hAnsi="Times New Roman"/>
          <w:sz w:val="24"/>
          <w:szCs w:val="24"/>
        </w:rPr>
        <w:t>ikumprojektu “Grozījumi Publiskas personas mantas atsavināšanas likumā” (VSS-988)</w:t>
      </w:r>
      <w:r>
        <w:rPr>
          <w:rFonts w:ascii="Times New Roman" w:hAnsi="Times New Roman"/>
          <w:sz w:val="24"/>
          <w:szCs w:val="24"/>
        </w:rPr>
        <w:t>.</w:t>
      </w:r>
    </w:p>
    <w:p w:rsidR="006C79D7" w:rsidRPr="00D3481F" w:rsidRDefault="006C79D7" w:rsidP="006C79D7">
      <w:pPr>
        <w:pStyle w:val="ListParagraph"/>
        <w:tabs>
          <w:tab w:val="left" w:pos="993"/>
        </w:tabs>
        <w:autoSpaceDE w:val="0"/>
        <w:autoSpaceDN w:val="0"/>
        <w:adjustRightInd w:val="0"/>
        <w:spacing w:after="0"/>
        <w:ind w:left="0" w:firstLine="709"/>
        <w:jc w:val="both"/>
        <w:rPr>
          <w:rFonts w:ascii="Times New Roman" w:hAnsi="Times New Roman"/>
          <w:sz w:val="24"/>
          <w:szCs w:val="24"/>
        </w:rPr>
      </w:pPr>
      <w:r w:rsidRPr="009B1084">
        <w:rPr>
          <w:rFonts w:ascii="Times New Roman" w:hAnsi="Times New Roman"/>
          <w:sz w:val="24"/>
          <w:szCs w:val="24"/>
        </w:rPr>
        <w:t>1</w:t>
      </w:r>
      <w:r>
        <w:rPr>
          <w:rFonts w:ascii="Times New Roman" w:hAnsi="Times New Roman"/>
          <w:sz w:val="24"/>
          <w:szCs w:val="24"/>
        </w:rPr>
        <w:t>0</w:t>
      </w:r>
      <w:r w:rsidRPr="009B1084">
        <w:rPr>
          <w:rFonts w:ascii="Times New Roman" w:hAnsi="Times New Roman"/>
          <w:sz w:val="24"/>
          <w:szCs w:val="24"/>
        </w:rPr>
        <w:t xml:space="preserve">. </w:t>
      </w:r>
      <w:r w:rsidRPr="00187498">
        <w:rPr>
          <w:rFonts w:ascii="Times New Roman" w:hAnsi="Times New Roman" w:cs="Times New Roman"/>
          <w:sz w:val="24"/>
          <w:szCs w:val="24"/>
        </w:rPr>
        <w:t>Ministru kabineta rīkojuma projektu “Par apbūves tiesības piešķiršanu uz valsts zemes vienības “Stacija Mežvidi”, Mežvidos, Mežvidu pagastā, Kārsavas novadā, daļu” (VSS-1004).</w:t>
      </w:r>
    </w:p>
    <w:p w:rsidR="006C79D7" w:rsidRDefault="006C79D7" w:rsidP="006C79D7">
      <w:pPr>
        <w:pStyle w:val="ListParagraph"/>
        <w:tabs>
          <w:tab w:val="left" w:pos="993"/>
        </w:tabs>
        <w:autoSpaceDE w:val="0"/>
        <w:autoSpaceDN w:val="0"/>
        <w:adjustRightInd w:val="0"/>
        <w:spacing w:after="0"/>
        <w:ind w:left="0" w:firstLine="709"/>
        <w:jc w:val="both"/>
        <w:rPr>
          <w:rFonts w:ascii="Times New Roman" w:hAnsi="Times New Roman" w:cs="Times New Roman"/>
          <w:sz w:val="24"/>
          <w:szCs w:val="24"/>
        </w:rPr>
      </w:pPr>
      <w:r w:rsidRPr="00187498">
        <w:rPr>
          <w:rFonts w:ascii="Times New Roman" w:hAnsi="Times New Roman" w:cs="Times New Roman"/>
          <w:sz w:val="24"/>
          <w:szCs w:val="24"/>
        </w:rPr>
        <w:t xml:space="preserve">11. </w:t>
      </w:r>
      <w:r>
        <w:rPr>
          <w:rFonts w:ascii="Times New Roman" w:hAnsi="Times New Roman"/>
          <w:sz w:val="24"/>
          <w:szCs w:val="24"/>
        </w:rPr>
        <w:t>L</w:t>
      </w:r>
      <w:r w:rsidRPr="009B1084">
        <w:rPr>
          <w:rFonts w:ascii="Times New Roman" w:hAnsi="Times New Roman"/>
          <w:sz w:val="24"/>
          <w:szCs w:val="24"/>
        </w:rPr>
        <w:t>ikumprojektu “Grozījumi likumā “Par zemes dzīlēm”” (VSS-1240; 2016)</w:t>
      </w:r>
      <w:r>
        <w:rPr>
          <w:rFonts w:ascii="Times New Roman" w:hAnsi="Times New Roman"/>
          <w:sz w:val="24"/>
          <w:szCs w:val="24"/>
        </w:rPr>
        <w:t>.</w:t>
      </w:r>
    </w:p>
    <w:p w:rsidR="006C79D7" w:rsidRPr="00941086" w:rsidRDefault="006C79D7" w:rsidP="006C79D7">
      <w:pPr>
        <w:autoSpaceDE w:val="0"/>
        <w:autoSpaceDN w:val="0"/>
        <w:adjustRightInd w:val="0"/>
        <w:spacing w:after="0"/>
        <w:ind w:firstLine="709"/>
        <w:jc w:val="both"/>
        <w:rPr>
          <w:rFonts w:ascii="Times New Roman" w:hAnsi="Times New Roman" w:cs="Times New Roman"/>
          <w:color w:val="000000"/>
          <w:sz w:val="24"/>
          <w:szCs w:val="24"/>
        </w:rPr>
      </w:pPr>
      <w:r w:rsidRPr="00187498">
        <w:rPr>
          <w:rFonts w:ascii="Times New Roman" w:hAnsi="Times New Roman" w:cs="Times New Roman"/>
          <w:sz w:val="24"/>
          <w:szCs w:val="24"/>
        </w:rPr>
        <w:t xml:space="preserve">Vienlaikus pārskata periodā </w:t>
      </w:r>
      <w:r w:rsidRPr="00941086">
        <w:rPr>
          <w:rFonts w:ascii="Times New Roman" w:hAnsi="Times New Roman" w:cs="Times New Roman"/>
          <w:color w:val="000000"/>
          <w:sz w:val="24"/>
          <w:szCs w:val="24"/>
        </w:rPr>
        <w:t>Birojs sadarbībā ar Zemkopības ministriju samazināja korupcijas un publiskas personas mantas (pašvaldību īpašumā esošo lauksaimniecības zemju) izšķērdēšanas riskus Ministru kabineta noteikumu projektā „Noteikumi par lauksaimniecības zemes nomu ar izpirkuma tiesībām” (VSS-1077; pieņemti 2017.gada 12.decembrī), piemēram:</w:t>
      </w:r>
    </w:p>
    <w:p w:rsidR="006C79D7" w:rsidRPr="00941086" w:rsidRDefault="006C79D7" w:rsidP="006C79D7">
      <w:pPr>
        <w:pStyle w:val="ListParagraph"/>
        <w:numPr>
          <w:ilvl w:val="0"/>
          <w:numId w:val="24"/>
        </w:numPr>
        <w:autoSpaceDE w:val="0"/>
        <w:autoSpaceDN w:val="0"/>
        <w:adjustRightInd w:val="0"/>
        <w:spacing w:after="0"/>
        <w:ind w:left="993" w:hanging="284"/>
        <w:jc w:val="both"/>
        <w:rPr>
          <w:rFonts w:ascii="Times New Roman" w:hAnsi="Times New Roman" w:cs="Times New Roman"/>
          <w:color w:val="000000"/>
          <w:sz w:val="24"/>
          <w:szCs w:val="24"/>
        </w:rPr>
      </w:pPr>
      <w:r w:rsidRPr="00941086">
        <w:rPr>
          <w:rFonts w:ascii="Times New Roman" w:hAnsi="Times New Roman" w:cs="Times New Roman"/>
          <w:color w:val="000000"/>
          <w:sz w:val="24"/>
          <w:szCs w:val="24"/>
        </w:rPr>
        <w:t>novēršot korupcijas, interešu konflikta un nevienlīdzīgas attieksmes risku, t.i., informācijas pieejamību atsevišķām personu grupām par pašvaldības ieceri nodot lauksaimniecības zemi nomā ar izpirkuma tiesībām. No informācijas pieejamības būtu bijusi atkarīga iespēja nodibināt nomas ar izpirkumu tiesiskās attiecības ar likumā “Par zemes privatizāciju lauku apvidos” piešķirtajām priekšrocībām, t.i., iegūt nomā un vēlāk – īpašumā lauksaimniecības zemi ar atvieglotiem nosacījumiem (par izpirkuma maksu, kas piesaistīta zemes kadastrālai, nevis tirgus vērtībai);</w:t>
      </w:r>
    </w:p>
    <w:p w:rsidR="006C79D7" w:rsidRPr="00941086" w:rsidRDefault="006C79D7" w:rsidP="006C79D7">
      <w:pPr>
        <w:pStyle w:val="ListParagraph"/>
        <w:numPr>
          <w:ilvl w:val="0"/>
          <w:numId w:val="24"/>
        </w:numPr>
        <w:autoSpaceDE w:val="0"/>
        <w:autoSpaceDN w:val="0"/>
        <w:adjustRightInd w:val="0"/>
        <w:spacing w:after="0"/>
        <w:ind w:left="993" w:hanging="284"/>
        <w:jc w:val="both"/>
        <w:rPr>
          <w:rFonts w:ascii="Times New Roman" w:hAnsi="Times New Roman" w:cs="Times New Roman"/>
          <w:color w:val="000000"/>
          <w:sz w:val="24"/>
          <w:szCs w:val="24"/>
        </w:rPr>
      </w:pPr>
      <w:r w:rsidRPr="00941086">
        <w:rPr>
          <w:rFonts w:ascii="Times New Roman" w:hAnsi="Times New Roman" w:cs="Times New Roman"/>
          <w:color w:val="000000"/>
          <w:sz w:val="24"/>
          <w:szCs w:val="24"/>
        </w:rPr>
        <w:t>papildinot nomas līguma ar izpirkuma tiesībām izbeigšanās nosacījumus un nosakot, ka nomas līgums izbeigsies arī tajos gadījumos, ja nomnieks veiks neatļautu būvniecību uz nomā ar izpirkuma tiesībām nodotās zemes, ja nomnieks neizmantos lauksaimniecības zemi lauksaimnieciskajā darbībā, t.i., tam paredzētajam mērķim, ja pēc nomas līguma noslēgšanas atklāsies, ka nomniekam pieder lauksaimniecības zeme, vai ja tas būs nodevis zemi apakšnomā; tāpat Birojs un atbildīgā ministrija vienojās par vienota nomas maksas samaksas termiņa un atbildības par nomas maksas kavējumiem noteikšanu;</w:t>
      </w:r>
    </w:p>
    <w:p w:rsidR="006C79D7" w:rsidRPr="00941086" w:rsidRDefault="006C79D7" w:rsidP="006C79D7">
      <w:pPr>
        <w:pStyle w:val="ListParagraph"/>
        <w:numPr>
          <w:ilvl w:val="0"/>
          <w:numId w:val="24"/>
        </w:numPr>
        <w:autoSpaceDE w:val="0"/>
        <w:autoSpaceDN w:val="0"/>
        <w:adjustRightInd w:val="0"/>
        <w:spacing w:after="0"/>
        <w:ind w:left="993" w:hanging="284"/>
        <w:jc w:val="both"/>
        <w:rPr>
          <w:rFonts w:ascii="Times New Roman" w:hAnsi="Times New Roman" w:cs="Times New Roman"/>
          <w:color w:val="000000"/>
          <w:sz w:val="24"/>
          <w:szCs w:val="24"/>
        </w:rPr>
      </w:pPr>
      <w:r w:rsidRPr="00941086">
        <w:rPr>
          <w:rFonts w:ascii="Times New Roman" w:hAnsi="Times New Roman" w:cs="Times New Roman"/>
          <w:color w:val="000000"/>
          <w:sz w:val="24"/>
          <w:szCs w:val="24"/>
        </w:rPr>
        <w:t>neattiecinot publiskas personas nekustamā īpašuma pārdošanas uz nomaksu (Publiskas personas mantas atsavināšanas likuma 36.panta trešās daļas) tiesību institūtu uz nomas ar izpirkumu tiesību institūtu, saglabājot nošķīrumu starp abām īpašuma tiesību pārejas formām, u.c.</w:t>
      </w:r>
    </w:p>
    <w:p w:rsidR="006C79D7" w:rsidRPr="00941086" w:rsidRDefault="006C79D7" w:rsidP="006C79D7">
      <w:pPr>
        <w:autoSpaceDE w:val="0"/>
        <w:autoSpaceDN w:val="0"/>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Savukārt</w:t>
      </w:r>
      <w:r w:rsidRPr="00941086">
        <w:rPr>
          <w:rFonts w:ascii="Times New Roman" w:hAnsi="Times New Roman" w:cs="Times New Roman"/>
          <w:color w:val="000000"/>
          <w:sz w:val="24"/>
          <w:szCs w:val="24"/>
        </w:rPr>
        <w:t>, lai mazinātu korupcijas un interešu konflikta, kā arī noziedzīgi iegūtu līdzekļu legalizācijas riskus valsts amatpersonu darbībā, Birojs piedalījās likumprojekta “Grozījumi likumā “Par interešu konflikta novēršanu valsts amatpersonu darbībā”” (</w:t>
      </w:r>
      <w:r w:rsidRPr="008B2EE1">
        <w:rPr>
          <w:rFonts w:ascii="Times New Roman" w:hAnsi="Times New Roman" w:cs="Times New Roman"/>
          <w:color w:val="000000"/>
          <w:sz w:val="24"/>
          <w:szCs w:val="24"/>
        </w:rPr>
        <w:t xml:space="preserve">VSS-802; Saeimas likumprojekta </w:t>
      </w:r>
      <w:r>
        <w:rPr>
          <w:rFonts w:ascii="Times New Roman" w:hAnsi="Times New Roman" w:cs="Times New Roman"/>
          <w:color w:val="000000"/>
          <w:sz w:val="24"/>
          <w:szCs w:val="24"/>
        </w:rPr>
        <w:t>N</w:t>
      </w:r>
      <w:r w:rsidRPr="00941086">
        <w:rPr>
          <w:rFonts w:ascii="Times New Roman" w:hAnsi="Times New Roman" w:cs="Times New Roman"/>
          <w:color w:val="000000"/>
          <w:sz w:val="24"/>
          <w:szCs w:val="24"/>
        </w:rPr>
        <w:t>r:893/Lp12) izstrādes un saskaņošana procesā. Ar likumprojektu iecerēts:</w:t>
      </w:r>
    </w:p>
    <w:p w:rsidR="006C79D7" w:rsidRPr="00941086" w:rsidRDefault="006C79D7" w:rsidP="006C79D7">
      <w:pPr>
        <w:pStyle w:val="ListParagraph"/>
        <w:numPr>
          <w:ilvl w:val="0"/>
          <w:numId w:val="25"/>
        </w:numPr>
        <w:autoSpaceDE w:val="0"/>
        <w:autoSpaceDN w:val="0"/>
        <w:adjustRightInd w:val="0"/>
        <w:spacing w:after="0"/>
        <w:ind w:left="993" w:hanging="284"/>
        <w:jc w:val="both"/>
        <w:rPr>
          <w:rFonts w:ascii="Times New Roman" w:hAnsi="Times New Roman" w:cs="Times New Roman"/>
          <w:color w:val="000000"/>
          <w:sz w:val="24"/>
          <w:szCs w:val="24"/>
        </w:rPr>
      </w:pPr>
      <w:r w:rsidRPr="00941086">
        <w:rPr>
          <w:rFonts w:ascii="Times New Roman" w:hAnsi="Times New Roman" w:cs="Times New Roman"/>
          <w:color w:val="000000"/>
          <w:sz w:val="24"/>
          <w:szCs w:val="24"/>
        </w:rPr>
        <w:t xml:space="preserve">attiecināt valsts amatpersonas lēmumu pieņemšanas vai ar amatu saistīto darbību veikšanas ierobežojumus uz personu, ar kuru valsts amatpersona dzīvo kopā un ar kuru tai ir kopīga (nedalīta) saimniecība, tajā skaitā paredzot pienākumu valsts amatpersonas deklarācijas nepubliskojamajā daļā norādīt minētās personas datus. Mērķis: izslēgt valsts amatpersonas darbību interešu konflikta situācijā attiecībā uz </w:t>
      </w:r>
      <w:r w:rsidRPr="00941086">
        <w:rPr>
          <w:rFonts w:ascii="Times New Roman" w:hAnsi="Times New Roman" w:cs="Times New Roman"/>
          <w:color w:val="000000"/>
          <w:sz w:val="24"/>
          <w:szCs w:val="24"/>
        </w:rPr>
        <w:lastRenderedPageBreak/>
        <w:t xml:space="preserve">tām personām, kuras neietilpst radinieku lokā, bet atrodas salīdzināmos apstākļos ar radiniekiem (laulātajiem); </w:t>
      </w:r>
    </w:p>
    <w:p w:rsidR="006C79D7" w:rsidRPr="00941086" w:rsidRDefault="006C79D7" w:rsidP="006C79D7">
      <w:pPr>
        <w:pStyle w:val="ListParagraph"/>
        <w:numPr>
          <w:ilvl w:val="0"/>
          <w:numId w:val="25"/>
        </w:numPr>
        <w:autoSpaceDE w:val="0"/>
        <w:autoSpaceDN w:val="0"/>
        <w:adjustRightInd w:val="0"/>
        <w:spacing w:after="0"/>
        <w:ind w:left="993" w:hanging="284"/>
        <w:jc w:val="both"/>
        <w:rPr>
          <w:rFonts w:ascii="Times New Roman" w:hAnsi="Times New Roman" w:cs="Times New Roman"/>
          <w:color w:val="000000"/>
          <w:sz w:val="24"/>
          <w:szCs w:val="24"/>
        </w:rPr>
      </w:pPr>
      <w:r w:rsidRPr="00941086">
        <w:rPr>
          <w:rFonts w:ascii="Times New Roman" w:hAnsi="Times New Roman" w:cs="Times New Roman"/>
          <w:color w:val="000000"/>
          <w:sz w:val="24"/>
          <w:szCs w:val="24"/>
        </w:rPr>
        <w:t>noteikt skaidras naudas uzkrājumu ierobežojumu 20 minimālo mēnešalgu apmērā. Mērķis: mazināt iespēju valsts amatpersonai legalizēt noziedzīgā ceļā iegūtus līdzekļus, kā arī novērst iespēju nākotnē pieņemt kukuli (materiālu vērtību, mantisku vai citāda rakstura labumu), valsts amatpersonu deklarācijā norādot neeksistējošus skaidras naudas uzkrājumus;</w:t>
      </w:r>
    </w:p>
    <w:p w:rsidR="006C79D7" w:rsidRPr="00941086" w:rsidRDefault="006C79D7" w:rsidP="006C79D7">
      <w:pPr>
        <w:pStyle w:val="ListParagraph"/>
        <w:numPr>
          <w:ilvl w:val="0"/>
          <w:numId w:val="25"/>
        </w:numPr>
        <w:autoSpaceDE w:val="0"/>
        <w:autoSpaceDN w:val="0"/>
        <w:adjustRightInd w:val="0"/>
        <w:spacing w:after="0"/>
        <w:ind w:left="993" w:hanging="284"/>
        <w:jc w:val="both"/>
        <w:rPr>
          <w:rFonts w:ascii="Times New Roman" w:hAnsi="Times New Roman" w:cs="Times New Roman"/>
          <w:color w:val="000000"/>
          <w:sz w:val="24"/>
          <w:szCs w:val="24"/>
        </w:rPr>
      </w:pPr>
      <w:r w:rsidRPr="00941086">
        <w:rPr>
          <w:rFonts w:ascii="Times New Roman" w:hAnsi="Times New Roman" w:cs="Times New Roman"/>
          <w:color w:val="000000"/>
          <w:sz w:val="24"/>
          <w:szCs w:val="24"/>
        </w:rPr>
        <w:t>noteikt papildu iesniedzamās deklarācijas veidu, kas saturētu informāciju par valsts amatpersonas veiktajiem darījumiem, piemēram, saņemtajiem dāvinājumiem un mantojumu, izsniegtu vai saņemtu aizdevumu, kuru vērtība pārsniedz 20 minimālās mēnešalgas. Mērķis: mazināt iespēju valsts amatpersonām legalizēt noziedzīgā ceļā iegūtus līdzekļus un kontrolējošām institūcijām savlaicīgi (mēneša laikā) saņemt informāciju par valsts amatpersonas mantiskā stāvokļa izmaiņām.</w:t>
      </w:r>
    </w:p>
    <w:p w:rsidR="006C79D7" w:rsidRPr="006C79D7" w:rsidRDefault="006C79D7" w:rsidP="006C79D7">
      <w:pPr>
        <w:tabs>
          <w:tab w:val="left" w:pos="1701"/>
        </w:tabs>
        <w:spacing w:after="0"/>
        <w:ind w:firstLine="709"/>
        <w:jc w:val="both"/>
        <w:rPr>
          <w:rFonts w:ascii="Times New Roman" w:hAnsi="Times New Roman"/>
          <w:sz w:val="24"/>
          <w:szCs w:val="24"/>
        </w:rPr>
      </w:pPr>
      <w:r w:rsidRPr="00DC7779">
        <w:rPr>
          <w:rFonts w:ascii="Times New Roman" w:hAnsi="Times New Roman"/>
          <w:sz w:val="24"/>
          <w:szCs w:val="24"/>
        </w:rPr>
        <w:t xml:space="preserve">Biroja </w:t>
      </w:r>
      <w:r w:rsidRPr="006C79D7">
        <w:rPr>
          <w:rFonts w:ascii="Times New Roman" w:hAnsi="Times New Roman"/>
          <w:sz w:val="24"/>
          <w:szCs w:val="24"/>
        </w:rPr>
        <w:t>pārstāvji 2017.gadā nodrošināja dalību 77 starpinstitūciju darba grupu un komisiju sēdēs, kā arī starpinstitūciju sanāksmēs saistībā ar normatīvo aktu grozījumiem. Nodrošinot aktīvu dalību Saeimas komisiju un apakškomisiju sēdēs, Biroja pārstāvji sniedza viedokli (arī rakstiski, sagatavojot likumprojektu pantu redakcijas), piemēram:</w:t>
      </w:r>
    </w:p>
    <w:p w:rsidR="006C79D7" w:rsidRPr="006C79D7" w:rsidRDefault="006C79D7" w:rsidP="006C79D7">
      <w:pPr>
        <w:numPr>
          <w:ilvl w:val="0"/>
          <w:numId w:val="26"/>
        </w:numPr>
        <w:tabs>
          <w:tab w:val="left" w:pos="993"/>
        </w:tabs>
        <w:spacing w:after="0"/>
        <w:ind w:hanging="11"/>
        <w:contextualSpacing/>
        <w:jc w:val="both"/>
        <w:rPr>
          <w:rFonts w:ascii="Times New Roman" w:hAnsi="Times New Roman"/>
          <w:sz w:val="24"/>
          <w:szCs w:val="24"/>
        </w:rPr>
      </w:pPr>
      <w:r w:rsidRPr="006C79D7">
        <w:rPr>
          <w:rFonts w:ascii="Times New Roman" w:hAnsi="Times New Roman"/>
          <w:sz w:val="24"/>
          <w:szCs w:val="24"/>
        </w:rPr>
        <w:t>Saeimas Valsts pārvaldes un pašvaldību komisijas sēdēs par:</w:t>
      </w:r>
    </w:p>
    <w:p w:rsidR="006C79D7" w:rsidRPr="006C79D7" w:rsidRDefault="006C79D7" w:rsidP="006C79D7">
      <w:pPr>
        <w:numPr>
          <w:ilvl w:val="0"/>
          <w:numId w:val="2"/>
        </w:numPr>
        <w:tabs>
          <w:tab w:val="left" w:pos="993"/>
          <w:tab w:val="left" w:pos="1134"/>
          <w:tab w:val="left" w:pos="1701"/>
        </w:tabs>
        <w:spacing w:after="0"/>
        <w:ind w:left="1701" w:hanging="283"/>
        <w:contextualSpacing/>
        <w:jc w:val="both"/>
        <w:rPr>
          <w:rFonts w:ascii="Times New Roman" w:hAnsi="Times New Roman"/>
          <w:bCs/>
          <w:sz w:val="24"/>
          <w:szCs w:val="24"/>
          <w:lang w:val="de-DE"/>
        </w:rPr>
      </w:pPr>
      <w:r w:rsidRPr="006C79D7">
        <w:rPr>
          <w:rFonts w:ascii="Times New Roman" w:hAnsi="Times New Roman"/>
          <w:sz w:val="24"/>
          <w:szCs w:val="24"/>
          <w:lang w:val="de-DE"/>
        </w:rPr>
        <w:t>likumprojektu „Grozījums Publiskas personas mantas atsavināšanas likumā” (Nr.644/Lp12);</w:t>
      </w:r>
    </w:p>
    <w:p w:rsidR="006C79D7" w:rsidRPr="006C79D7" w:rsidRDefault="006C79D7" w:rsidP="006C79D7">
      <w:pPr>
        <w:numPr>
          <w:ilvl w:val="0"/>
          <w:numId w:val="2"/>
        </w:numPr>
        <w:tabs>
          <w:tab w:val="left" w:pos="993"/>
          <w:tab w:val="left" w:pos="1134"/>
          <w:tab w:val="left" w:pos="1701"/>
        </w:tabs>
        <w:spacing w:after="0"/>
        <w:ind w:left="1701" w:hanging="283"/>
        <w:contextualSpacing/>
        <w:jc w:val="both"/>
        <w:rPr>
          <w:rFonts w:ascii="Times New Roman" w:hAnsi="Times New Roman"/>
          <w:sz w:val="24"/>
          <w:szCs w:val="24"/>
          <w:lang w:val="de-DE"/>
        </w:rPr>
      </w:pPr>
      <w:r w:rsidRPr="006C79D7">
        <w:rPr>
          <w:rFonts w:ascii="Times New Roman" w:hAnsi="Times New Roman"/>
          <w:bCs/>
          <w:sz w:val="24"/>
          <w:szCs w:val="24"/>
        </w:rPr>
        <w:t>likumprojektu “Grozījumi Publiskas personas finanšu līdzekļu un mantas izšķērdēšanas novēršanas likumā” (Nr.770/Lp12);</w:t>
      </w:r>
    </w:p>
    <w:p w:rsidR="006C79D7" w:rsidRPr="006C79D7" w:rsidRDefault="006C79D7" w:rsidP="006C79D7">
      <w:pPr>
        <w:numPr>
          <w:ilvl w:val="0"/>
          <w:numId w:val="2"/>
        </w:numPr>
        <w:tabs>
          <w:tab w:val="left" w:pos="993"/>
          <w:tab w:val="left" w:pos="1134"/>
          <w:tab w:val="left" w:pos="1701"/>
        </w:tabs>
        <w:spacing w:after="0"/>
        <w:ind w:left="1701" w:hanging="283"/>
        <w:contextualSpacing/>
        <w:jc w:val="both"/>
        <w:rPr>
          <w:rFonts w:ascii="Times New Roman" w:hAnsi="Times New Roman"/>
          <w:sz w:val="24"/>
          <w:szCs w:val="24"/>
          <w:lang w:val="de-DE"/>
        </w:rPr>
      </w:pPr>
      <w:r w:rsidRPr="006C79D7">
        <w:rPr>
          <w:rFonts w:ascii="Times New Roman" w:hAnsi="Times New Roman"/>
          <w:sz w:val="24"/>
          <w:szCs w:val="24"/>
        </w:rPr>
        <w:t>likumprojektu “Grozījumi likumā “Par interešu konflikta novēršanu valsts amatpersonu darbībā”” (Nr.932/Lp12);</w:t>
      </w:r>
    </w:p>
    <w:p w:rsidR="006C79D7" w:rsidRPr="006C79D7" w:rsidRDefault="006C79D7" w:rsidP="006C79D7">
      <w:pPr>
        <w:numPr>
          <w:ilvl w:val="0"/>
          <w:numId w:val="26"/>
        </w:numPr>
        <w:tabs>
          <w:tab w:val="left" w:pos="993"/>
        </w:tabs>
        <w:spacing w:after="0"/>
        <w:ind w:hanging="11"/>
        <w:contextualSpacing/>
        <w:jc w:val="both"/>
        <w:rPr>
          <w:rFonts w:ascii="Times New Roman" w:hAnsi="Times New Roman"/>
          <w:sz w:val="24"/>
          <w:szCs w:val="24"/>
          <w:lang w:val="de-DE"/>
        </w:rPr>
      </w:pPr>
      <w:r w:rsidRPr="006C79D7">
        <w:rPr>
          <w:rFonts w:ascii="Times New Roman" w:hAnsi="Times New Roman"/>
          <w:sz w:val="24"/>
          <w:szCs w:val="24"/>
          <w:lang w:val="de-DE"/>
        </w:rPr>
        <w:t xml:space="preserve"> Saeimas Aizsardzības, iekšlietu un korupcijas novēršanas komisijas sēdēs par:</w:t>
      </w:r>
    </w:p>
    <w:p w:rsidR="006C79D7" w:rsidRPr="006C79D7" w:rsidRDefault="006C79D7" w:rsidP="006C79D7">
      <w:pPr>
        <w:pStyle w:val="ListParagraph"/>
        <w:numPr>
          <w:ilvl w:val="0"/>
          <w:numId w:val="27"/>
        </w:numPr>
        <w:tabs>
          <w:tab w:val="left" w:pos="993"/>
          <w:tab w:val="left" w:pos="1701"/>
        </w:tabs>
        <w:spacing w:after="0"/>
        <w:ind w:left="1701" w:hanging="283"/>
        <w:jc w:val="both"/>
        <w:rPr>
          <w:rFonts w:ascii="Times New Roman" w:hAnsi="Times New Roman"/>
          <w:sz w:val="24"/>
          <w:szCs w:val="24"/>
          <w:lang w:val="de-DE"/>
        </w:rPr>
      </w:pPr>
      <w:r w:rsidRPr="006C79D7">
        <w:rPr>
          <w:rFonts w:ascii="Times New Roman" w:hAnsi="Times New Roman"/>
          <w:sz w:val="24"/>
          <w:szCs w:val="24"/>
          <w:lang w:val="de-DE"/>
        </w:rPr>
        <w:t>Ministru kabineta noteikumu projektu „Noteikumiem par iekšējās kontroles sistēmas pamatprasībām korupcijas un interešu konflikta riska novēršanai publiskas personas institūcijā“;</w:t>
      </w:r>
    </w:p>
    <w:p w:rsidR="006C79D7" w:rsidRPr="006C79D7" w:rsidRDefault="006C79D7" w:rsidP="006C79D7">
      <w:pPr>
        <w:pStyle w:val="ListParagraph"/>
        <w:numPr>
          <w:ilvl w:val="0"/>
          <w:numId w:val="27"/>
        </w:numPr>
        <w:tabs>
          <w:tab w:val="left" w:pos="993"/>
          <w:tab w:val="left" w:pos="1701"/>
        </w:tabs>
        <w:spacing w:after="0"/>
        <w:ind w:left="1701" w:hanging="283"/>
        <w:jc w:val="both"/>
        <w:rPr>
          <w:rFonts w:ascii="Times New Roman" w:hAnsi="Times New Roman"/>
          <w:sz w:val="24"/>
          <w:szCs w:val="24"/>
          <w:lang w:val="de-DE"/>
        </w:rPr>
      </w:pPr>
      <w:r w:rsidRPr="006C79D7">
        <w:rPr>
          <w:rFonts w:ascii="Times New Roman" w:hAnsi="Times New Roman"/>
          <w:sz w:val="24"/>
          <w:szCs w:val="24"/>
          <w:lang w:val="de-DE"/>
        </w:rPr>
        <w:t>likumprojektu “Grozījumi Korupcijas novēršanas un apkarošanas biroja likumā” (Nr.1011/Lp12);</w:t>
      </w:r>
    </w:p>
    <w:p w:rsidR="006C79D7" w:rsidRPr="006C79D7" w:rsidRDefault="006C79D7" w:rsidP="006C79D7">
      <w:pPr>
        <w:pStyle w:val="ListParagraph"/>
        <w:numPr>
          <w:ilvl w:val="0"/>
          <w:numId w:val="26"/>
        </w:numPr>
        <w:tabs>
          <w:tab w:val="left" w:pos="993"/>
          <w:tab w:val="left" w:pos="1134"/>
        </w:tabs>
        <w:spacing w:after="0"/>
        <w:ind w:hanging="11"/>
        <w:jc w:val="both"/>
        <w:rPr>
          <w:rFonts w:ascii="Times New Roman" w:hAnsi="Times New Roman"/>
          <w:sz w:val="24"/>
          <w:szCs w:val="24"/>
          <w:lang w:eastAsia="lv-LV"/>
        </w:rPr>
      </w:pPr>
      <w:r w:rsidRPr="006C79D7">
        <w:rPr>
          <w:rFonts w:ascii="Times New Roman" w:hAnsi="Times New Roman"/>
          <w:sz w:val="24"/>
          <w:szCs w:val="24"/>
        </w:rPr>
        <w:t>Saeimas Tautsaimniecības, agrārās, vides un reģionālās politikas komisijas sēdēs par:</w:t>
      </w:r>
    </w:p>
    <w:p w:rsidR="006C79D7" w:rsidRPr="006C79D7" w:rsidRDefault="006C79D7" w:rsidP="006C79D7">
      <w:pPr>
        <w:numPr>
          <w:ilvl w:val="0"/>
          <w:numId w:val="28"/>
        </w:numPr>
        <w:tabs>
          <w:tab w:val="left" w:pos="993"/>
          <w:tab w:val="left" w:pos="1134"/>
          <w:tab w:val="left" w:pos="1701"/>
        </w:tabs>
        <w:spacing w:after="0"/>
        <w:ind w:left="1701" w:hanging="283"/>
        <w:contextualSpacing/>
        <w:jc w:val="both"/>
        <w:rPr>
          <w:rFonts w:ascii="Times New Roman" w:hAnsi="Times New Roman"/>
          <w:sz w:val="24"/>
          <w:szCs w:val="24"/>
        </w:rPr>
      </w:pPr>
      <w:r w:rsidRPr="006C79D7">
        <w:rPr>
          <w:rFonts w:ascii="Times New Roman" w:hAnsi="Times New Roman"/>
          <w:bCs/>
          <w:sz w:val="24"/>
          <w:szCs w:val="24"/>
          <w:lang w:val="de-DE"/>
        </w:rPr>
        <w:t>likumprojektu „Grozījumi Elektronisko sakaru likumā” (Nr.737/Lp12);</w:t>
      </w:r>
    </w:p>
    <w:p w:rsidR="006C79D7" w:rsidRPr="006C79D7" w:rsidRDefault="006C79D7" w:rsidP="006C79D7">
      <w:pPr>
        <w:numPr>
          <w:ilvl w:val="0"/>
          <w:numId w:val="28"/>
        </w:numPr>
        <w:tabs>
          <w:tab w:val="left" w:pos="993"/>
          <w:tab w:val="left" w:pos="1134"/>
          <w:tab w:val="left" w:pos="1701"/>
        </w:tabs>
        <w:spacing w:after="0"/>
        <w:ind w:left="1701" w:hanging="283"/>
        <w:contextualSpacing/>
        <w:jc w:val="both"/>
        <w:rPr>
          <w:rFonts w:ascii="Times New Roman" w:hAnsi="Times New Roman"/>
          <w:sz w:val="24"/>
          <w:szCs w:val="24"/>
        </w:rPr>
      </w:pPr>
      <w:r w:rsidRPr="006C79D7">
        <w:rPr>
          <w:rFonts w:ascii="Times New Roman" w:hAnsi="Times New Roman"/>
          <w:bCs/>
          <w:sz w:val="24"/>
          <w:szCs w:val="24"/>
        </w:rPr>
        <w:t>likumprojektu „Grozījumi likumā “Par zemes privatizāciju lauku apvidos”” (Nr.590/Lp12);</w:t>
      </w:r>
    </w:p>
    <w:p w:rsidR="006C79D7" w:rsidRPr="006C79D7" w:rsidRDefault="006C79D7" w:rsidP="006C79D7">
      <w:pPr>
        <w:numPr>
          <w:ilvl w:val="0"/>
          <w:numId w:val="28"/>
        </w:numPr>
        <w:tabs>
          <w:tab w:val="left" w:pos="993"/>
          <w:tab w:val="left" w:pos="1134"/>
          <w:tab w:val="left" w:pos="1701"/>
        </w:tabs>
        <w:spacing w:after="0"/>
        <w:ind w:left="1701" w:hanging="283"/>
        <w:contextualSpacing/>
        <w:jc w:val="both"/>
        <w:rPr>
          <w:rFonts w:ascii="Times New Roman" w:hAnsi="Times New Roman"/>
          <w:sz w:val="24"/>
          <w:szCs w:val="24"/>
        </w:rPr>
      </w:pPr>
      <w:r w:rsidRPr="006C79D7">
        <w:rPr>
          <w:rFonts w:ascii="Times New Roman" w:hAnsi="Times New Roman"/>
          <w:bCs/>
          <w:sz w:val="24"/>
          <w:szCs w:val="24"/>
        </w:rPr>
        <w:t>likumprojektu “Grozījumi Meliorācijas likumā” (Nr.743/Lp12);</w:t>
      </w:r>
    </w:p>
    <w:p w:rsidR="006C79D7" w:rsidRPr="006C79D7" w:rsidRDefault="006C79D7" w:rsidP="006C79D7">
      <w:pPr>
        <w:numPr>
          <w:ilvl w:val="0"/>
          <w:numId w:val="28"/>
        </w:numPr>
        <w:tabs>
          <w:tab w:val="left" w:pos="993"/>
          <w:tab w:val="left" w:pos="1134"/>
          <w:tab w:val="left" w:pos="1701"/>
        </w:tabs>
        <w:spacing w:after="0"/>
        <w:ind w:left="1701" w:hanging="283"/>
        <w:contextualSpacing/>
        <w:jc w:val="both"/>
        <w:rPr>
          <w:rFonts w:ascii="Times New Roman" w:hAnsi="Times New Roman"/>
          <w:sz w:val="24"/>
          <w:szCs w:val="24"/>
        </w:rPr>
      </w:pPr>
      <w:r w:rsidRPr="006C79D7">
        <w:rPr>
          <w:rFonts w:ascii="Times New Roman" w:hAnsi="Times New Roman"/>
          <w:bCs/>
          <w:sz w:val="24"/>
          <w:szCs w:val="24"/>
        </w:rPr>
        <w:t>likumprojektu “Grozījumi Publiskās un privātās partnerības likumā” (Nr.841/Lp12);</w:t>
      </w:r>
    </w:p>
    <w:p w:rsidR="006C79D7" w:rsidRPr="006C79D7" w:rsidRDefault="006C79D7" w:rsidP="006C79D7">
      <w:pPr>
        <w:pStyle w:val="ListParagraph"/>
        <w:numPr>
          <w:ilvl w:val="0"/>
          <w:numId w:val="26"/>
        </w:numPr>
        <w:tabs>
          <w:tab w:val="left" w:pos="993"/>
          <w:tab w:val="left" w:pos="1134"/>
        </w:tabs>
        <w:spacing w:after="0"/>
        <w:ind w:hanging="11"/>
        <w:jc w:val="both"/>
        <w:rPr>
          <w:rFonts w:ascii="Times New Roman" w:hAnsi="Times New Roman"/>
          <w:sz w:val="24"/>
          <w:szCs w:val="24"/>
        </w:rPr>
      </w:pPr>
      <w:r w:rsidRPr="006C79D7">
        <w:rPr>
          <w:rFonts w:ascii="Times New Roman" w:hAnsi="Times New Roman"/>
          <w:sz w:val="24"/>
          <w:szCs w:val="24"/>
        </w:rPr>
        <w:t>Saeimas Budžeta komisijas sēdē par likumprojektu “Grozījumi Kredītiestāžu likumā” (Nr.799/Lp12);</w:t>
      </w:r>
    </w:p>
    <w:p w:rsidR="006C79D7" w:rsidRDefault="006C79D7" w:rsidP="006C79D7">
      <w:pPr>
        <w:pStyle w:val="ListParagraph"/>
        <w:numPr>
          <w:ilvl w:val="0"/>
          <w:numId w:val="26"/>
        </w:numPr>
        <w:tabs>
          <w:tab w:val="left" w:pos="993"/>
        </w:tabs>
        <w:spacing w:after="0"/>
        <w:ind w:hanging="11"/>
        <w:jc w:val="both"/>
        <w:rPr>
          <w:rFonts w:ascii="Times New Roman" w:hAnsi="Times New Roman"/>
          <w:sz w:val="24"/>
          <w:szCs w:val="24"/>
        </w:rPr>
      </w:pPr>
      <w:r w:rsidRPr="006C79D7">
        <w:rPr>
          <w:rFonts w:ascii="Times New Roman" w:hAnsi="Times New Roman"/>
          <w:sz w:val="24"/>
          <w:szCs w:val="24"/>
        </w:rPr>
        <w:t>Saeimas Juridiskās komisijas sēdēs par grozījumiem Tiesnešu disciplinārās atbildības likumā un likumā “Par tiesu varu”, kā arī Saeimas Kārtības ruļļa darba grupā par grozījumiem Saeimas kārtības rullī (lobēšanas tiesiskais regulējums);</w:t>
      </w:r>
    </w:p>
    <w:p w:rsidR="00F24C19" w:rsidRDefault="00F24C19" w:rsidP="00F24C19">
      <w:pPr>
        <w:pStyle w:val="ListParagraph"/>
        <w:tabs>
          <w:tab w:val="left" w:pos="993"/>
        </w:tabs>
        <w:spacing w:after="0"/>
        <w:jc w:val="both"/>
        <w:rPr>
          <w:rFonts w:ascii="Times New Roman" w:hAnsi="Times New Roman"/>
          <w:sz w:val="24"/>
          <w:szCs w:val="24"/>
        </w:rPr>
      </w:pPr>
    </w:p>
    <w:p w:rsidR="006C79D7" w:rsidRPr="006C79D7" w:rsidRDefault="006C79D7" w:rsidP="006C79D7">
      <w:pPr>
        <w:numPr>
          <w:ilvl w:val="0"/>
          <w:numId w:val="26"/>
        </w:numPr>
        <w:tabs>
          <w:tab w:val="left" w:pos="993"/>
          <w:tab w:val="left" w:pos="1701"/>
        </w:tabs>
        <w:spacing w:after="0"/>
        <w:ind w:hanging="11"/>
        <w:contextualSpacing/>
        <w:jc w:val="both"/>
        <w:rPr>
          <w:rFonts w:ascii="Times New Roman" w:hAnsi="Times New Roman"/>
          <w:sz w:val="24"/>
          <w:szCs w:val="24"/>
        </w:rPr>
      </w:pPr>
      <w:r w:rsidRPr="006C79D7">
        <w:rPr>
          <w:rFonts w:ascii="Times New Roman" w:hAnsi="Times New Roman"/>
          <w:sz w:val="24"/>
          <w:szCs w:val="24"/>
          <w:lang w:eastAsia="lv-LV"/>
        </w:rPr>
        <w:lastRenderedPageBreak/>
        <w:t>Saeimas Aizsardzības, iekšlietu un korupcijas novēršanas komisijas Korupcijas novēršanas apakškomisijas sēdēs par:</w:t>
      </w:r>
    </w:p>
    <w:p w:rsidR="006C79D7" w:rsidRPr="006C79D7" w:rsidRDefault="006C79D7" w:rsidP="006C79D7">
      <w:pPr>
        <w:numPr>
          <w:ilvl w:val="0"/>
          <w:numId w:val="6"/>
        </w:numPr>
        <w:tabs>
          <w:tab w:val="left" w:pos="993"/>
          <w:tab w:val="left" w:pos="1134"/>
          <w:tab w:val="left" w:pos="1701"/>
        </w:tabs>
        <w:spacing w:after="0"/>
        <w:ind w:left="1701" w:hanging="283"/>
        <w:contextualSpacing/>
        <w:jc w:val="both"/>
        <w:rPr>
          <w:rFonts w:ascii="Times New Roman" w:hAnsi="Times New Roman"/>
          <w:sz w:val="24"/>
          <w:szCs w:val="24"/>
          <w:lang w:eastAsia="lv-LV"/>
        </w:rPr>
      </w:pPr>
      <w:r w:rsidRPr="006C79D7">
        <w:rPr>
          <w:rFonts w:ascii="Times New Roman" w:hAnsi="Times New Roman"/>
          <w:sz w:val="24"/>
          <w:szCs w:val="24"/>
          <w:lang w:eastAsia="lv-LV"/>
        </w:rPr>
        <w:t>iekšējās kontroles sistēmu Zemkopības ministrijas kompetences jomās;</w:t>
      </w:r>
    </w:p>
    <w:p w:rsidR="006C79D7" w:rsidRPr="006C79D7" w:rsidRDefault="006C79D7" w:rsidP="006C79D7">
      <w:pPr>
        <w:numPr>
          <w:ilvl w:val="0"/>
          <w:numId w:val="6"/>
        </w:numPr>
        <w:tabs>
          <w:tab w:val="left" w:pos="993"/>
          <w:tab w:val="left" w:pos="1134"/>
          <w:tab w:val="left" w:pos="1701"/>
        </w:tabs>
        <w:spacing w:after="0"/>
        <w:ind w:left="1701" w:hanging="283"/>
        <w:contextualSpacing/>
        <w:jc w:val="both"/>
        <w:rPr>
          <w:rFonts w:ascii="Times New Roman" w:hAnsi="Times New Roman"/>
          <w:sz w:val="24"/>
          <w:szCs w:val="24"/>
          <w:lang w:eastAsia="lv-LV"/>
        </w:rPr>
      </w:pPr>
      <w:r w:rsidRPr="006C79D7">
        <w:rPr>
          <w:rFonts w:ascii="Times New Roman" w:hAnsi="Times New Roman"/>
          <w:sz w:val="24"/>
          <w:szCs w:val="24"/>
          <w:lang w:eastAsia="lv-LV"/>
        </w:rPr>
        <w:t>iekšējās kontroles sistēmu Kultūras ministrijas kompetences jomās;</w:t>
      </w:r>
    </w:p>
    <w:p w:rsidR="006C79D7" w:rsidRDefault="006C79D7" w:rsidP="006C79D7">
      <w:pPr>
        <w:numPr>
          <w:ilvl w:val="0"/>
          <w:numId w:val="6"/>
        </w:numPr>
        <w:tabs>
          <w:tab w:val="left" w:pos="993"/>
          <w:tab w:val="left" w:pos="1134"/>
          <w:tab w:val="left" w:pos="1701"/>
        </w:tabs>
        <w:spacing w:after="0"/>
        <w:ind w:left="1701" w:hanging="283"/>
        <w:contextualSpacing/>
        <w:jc w:val="both"/>
        <w:rPr>
          <w:rFonts w:ascii="Times New Roman" w:hAnsi="Times New Roman"/>
          <w:sz w:val="24"/>
          <w:szCs w:val="24"/>
          <w:lang w:eastAsia="lv-LV"/>
        </w:rPr>
      </w:pPr>
      <w:r w:rsidRPr="006C79D7">
        <w:rPr>
          <w:rFonts w:ascii="Times New Roman" w:hAnsi="Times New Roman"/>
          <w:sz w:val="24"/>
          <w:szCs w:val="24"/>
          <w:lang w:eastAsia="lv-LV"/>
        </w:rPr>
        <w:t>iekšējās kontroles sistēmu</w:t>
      </w:r>
      <w:r w:rsidRPr="00DC7779">
        <w:rPr>
          <w:rFonts w:ascii="Times New Roman" w:hAnsi="Times New Roman"/>
          <w:sz w:val="24"/>
          <w:szCs w:val="24"/>
          <w:lang w:eastAsia="lv-LV"/>
        </w:rPr>
        <w:t xml:space="preserve"> Izglītības un zinātnes ministrijas kompetences jomās;</w:t>
      </w:r>
    </w:p>
    <w:p w:rsidR="006C79D7" w:rsidRPr="00DC7779" w:rsidRDefault="006C79D7" w:rsidP="006C79D7">
      <w:pPr>
        <w:numPr>
          <w:ilvl w:val="0"/>
          <w:numId w:val="6"/>
        </w:numPr>
        <w:tabs>
          <w:tab w:val="left" w:pos="993"/>
          <w:tab w:val="left" w:pos="1134"/>
          <w:tab w:val="left" w:pos="1701"/>
        </w:tabs>
        <w:spacing w:after="0"/>
        <w:ind w:left="1701" w:hanging="283"/>
        <w:contextualSpacing/>
        <w:jc w:val="both"/>
        <w:rPr>
          <w:rFonts w:ascii="Times New Roman" w:hAnsi="Times New Roman"/>
          <w:sz w:val="24"/>
          <w:szCs w:val="24"/>
          <w:lang w:eastAsia="lv-LV"/>
        </w:rPr>
      </w:pPr>
      <w:r w:rsidRPr="00DC7779">
        <w:rPr>
          <w:rFonts w:ascii="Times New Roman" w:hAnsi="Times New Roman"/>
          <w:sz w:val="24"/>
          <w:szCs w:val="24"/>
          <w:lang w:eastAsia="lv-LV"/>
        </w:rPr>
        <w:t>likumprojektu “Trauksmes cēlēju aizsardzības likums”;</w:t>
      </w:r>
    </w:p>
    <w:p w:rsidR="006C79D7" w:rsidRDefault="006C79D7" w:rsidP="006C79D7">
      <w:pPr>
        <w:numPr>
          <w:ilvl w:val="0"/>
          <w:numId w:val="6"/>
        </w:numPr>
        <w:tabs>
          <w:tab w:val="left" w:pos="1134"/>
          <w:tab w:val="left" w:pos="1701"/>
        </w:tabs>
        <w:spacing w:after="0"/>
        <w:ind w:left="1701" w:hanging="283"/>
        <w:contextualSpacing/>
        <w:jc w:val="both"/>
        <w:rPr>
          <w:rFonts w:ascii="Times New Roman" w:hAnsi="Times New Roman"/>
          <w:sz w:val="24"/>
          <w:szCs w:val="24"/>
          <w:lang w:eastAsia="lv-LV"/>
        </w:rPr>
      </w:pPr>
      <w:r w:rsidRPr="00DC7779">
        <w:rPr>
          <w:rFonts w:ascii="Times New Roman" w:hAnsi="Times New Roman"/>
          <w:sz w:val="24"/>
          <w:szCs w:val="24"/>
          <w:lang w:eastAsia="lv-LV"/>
        </w:rPr>
        <w:t>ierobežojumiem attiecībā uz līgumu slēgšanu jautājumos, kuru risināšana ietilpst iestādes amatpersonu vai darbinieku pienākumos.</w:t>
      </w:r>
    </w:p>
    <w:p w:rsidR="005C7C99" w:rsidRPr="00C41916" w:rsidRDefault="005C7C99" w:rsidP="006C79D7">
      <w:pPr>
        <w:tabs>
          <w:tab w:val="left" w:pos="1134"/>
        </w:tabs>
        <w:spacing w:after="0"/>
        <w:ind w:left="709"/>
        <w:contextualSpacing/>
        <w:jc w:val="both"/>
        <w:rPr>
          <w:rFonts w:ascii="Times New Roman" w:hAnsi="Times New Roman"/>
          <w:sz w:val="24"/>
          <w:szCs w:val="24"/>
        </w:rPr>
      </w:pPr>
    </w:p>
    <w:p w:rsidR="005C7C99" w:rsidRPr="009060F2" w:rsidRDefault="00524A19" w:rsidP="009060F2">
      <w:pPr>
        <w:pStyle w:val="Heading3"/>
        <w:spacing w:before="0" w:after="0" w:line="276" w:lineRule="auto"/>
        <w:jc w:val="center"/>
        <w:rPr>
          <w:rStyle w:val="Strong"/>
          <w:rFonts w:ascii="Times New Roman" w:hAnsi="Times New Roman"/>
          <w:b/>
          <w:bCs/>
          <w:sz w:val="28"/>
          <w:szCs w:val="28"/>
        </w:rPr>
      </w:pPr>
      <w:bookmarkStart w:id="39" w:name="_Toc505249167"/>
      <w:r w:rsidRPr="009060F2">
        <w:rPr>
          <w:rStyle w:val="Strong"/>
          <w:rFonts w:ascii="Times New Roman" w:hAnsi="Times New Roman"/>
          <w:b/>
          <w:sz w:val="28"/>
          <w:szCs w:val="28"/>
        </w:rPr>
        <w:t>2.2. </w:t>
      </w:r>
      <w:r w:rsidR="005C7C99" w:rsidRPr="009060F2">
        <w:rPr>
          <w:rStyle w:val="Strong"/>
          <w:rFonts w:ascii="Times New Roman" w:hAnsi="Times New Roman"/>
          <w:b/>
          <w:sz w:val="28"/>
          <w:szCs w:val="28"/>
        </w:rPr>
        <w:t>Starptautisko rekomendāciju izpilde un starptautiskā sadarbība</w:t>
      </w:r>
      <w:bookmarkEnd w:id="36"/>
      <w:bookmarkEnd w:id="37"/>
      <w:bookmarkEnd w:id="38"/>
      <w:bookmarkEnd w:id="39"/>
    </w:p>
    <w:p w:rsidR="005C7C99" w:rsidRDefault="005C7C99" w:rsidP="006C79D7">
      <w:pPr>
        <w:autoSpaceDE w:val="0"/>
        <w:autoSpaceDN w:val="0"/>
        <w:adjustRightInd w:val="0"/>
        <w:spacing w:after="0"/>
        <w:ind w:firstLine="567"/>
        <w:jc w:val="both"/>
        <w:rPr>
          <w:rFonts w:ascii="Times New Roman" w:hAnsi="Times New Roman" w:cs="Times New Roman"/>
          <w:sz w:val="24"/>
          <w:szCs w:val="24"/>
        </w:rPr>
      </w:pPr>
    </w:p>
    <w:p w:rsidR="006566E5" w:rsidRPr="006566E5" w:rsidRDefault="006566E5" w:rsidP="006C79D7">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Pārskata periodā </w:t>
      </w:r>
      <w:r w:rsidR="009C5216">
        <w:rPr>
          <w:rFonts w:ascii="Times New Roman" w:eastAsia="Calibri" w:hAnsi="Times New Roman" w:cs="Times New Roman"/>
          <w:sz w:val="24"/>
          <w:szCs w:val="24"/>
        </w:rPr>
        <w:t>Birojs nodrošināja</w:t>
      </w:r>
      <w:r w:rsidRPr="006566E5">
        <w:rPr>
          <w:rFonts w:ascii="Times New Roman" w:eastAsia="Calibri" w:hAnsi="Times New Roman" w:cs="Times New Roman"/>
          <w:sz w:val="24"/>
          <w:szCs w:val="24"/>
        </w:rPr>
        <w:t xml:space="preserve"> līdzdalību dažādos starptautisko </w:t>
      </w:r>
      <w:r>
        <w:rPr>
          <w:rFonts w:ascii="Times New Roman" w:eastAsia="Calibri" w:hAnsi="Times New Roman" w:cs="Times New Roman"/>
          <w:sz w:val="24"/>
          <w:szCs w:val="24"/>
        </w:rPr>
        <w:t>organizāciju pasākumos, kā arī pildīja</w:t>
      </w:r>
      <w:r w:rsidRPr="006566E5">
        <w:rPr>
          <w:rFonts w:ascii="Times New Roman" w:eastAsia="Calibri" w:hAnsi="Times New Roman" w:cs="Times New Roman"/>
          <w:sz w:val="24"/>
          <w:szCs w:val="24"/>
        </w:rPr>
        <w:t xml:space="preserve"> Eiropas Padomes līguma “Par Pretkorupcijas starpvalstu grupas nodibināšanu” (GRECO) saistības</w:t>
      </w:r>
      <w:r w:rsidRPr="006566E5">
        <w:rPr>
          <w:rFonts w:ascii="Times New Roman" w:eastAsia="Calibri" w:hAnsi="Times New Roman" w:cs="Times New Roman"/>
          <w:sz w:val="24"/>
          <w:szCs w:val="24"/>
          <w:vertAlign w:val="superscript"/>
        </w:rPr>
        <w:footnoteReference w:id="2"/>
      </w:r>
      <w:r w:rsidR="006C79D7">
        <w:rPr>
          <w:rFonts w:ascii="Times New Roman" w:eastAsia="Calibri" w:hAnsi="Times New Roman" w:cs="Times New Roman"/>
          <w:sz w:val="24"/>
          <w:szCs w:val="24"/>
        </w:rPr>
        <w:t>, ANO</w:t>
      </w:r>
      <w:r w:rsidRPr="006566E5">
        <w:rPr>
          <w:rFonts w:ascii="Times New Roman" w:eastAsia="Calibri" w:hAnsi="Times New Roman" w:cs="Times New Roman"/>
          <w:sz w:val="24"/>
          <w:szCs w:val="24"/>
        </w:rPr>
        <w:t xml:space="preserve"> Pretkorupcijas konvencijas saistības, OECD Konvencijas par ārvalstu amatpersonu kukuļošanas apkarošanu starptautiskajos biznesa darījumos (</w:t>
      </w:r>
      <w:proofErr w:type="spellStart"/>
      <w:r w:rsidRPr="006566E5">
        <w:rPr>
          <w:rFonts w:ascii="Times New Roman" w:eastAsia="Calibri" w:hAnsi="Times New Roman" w:cs="Times New Roman"/>
          <w:sz w:val="24"/>
          <w:szCs w:val="24"/>
        </w:rPr>
        <w:t>Pretkukuļošanas</w:t>
      </w:r>
      <w:proofErr w:type="spellEnd"/>
      <w:r w:rsidRPr="006566E5">
        <w:rPr>
          <w:rFonts w:ascii="Times New Roman" w:eastAsia="Calibri" w:hAnsi="Times New Roman" w:cs="Times New Roman"/>
          <w:sz w:val="24"/>
          <w:szCs w:val="24"/>
        </w:rPr>
        <w:t xml:space="preserve"> konvencijas) saistības, kā arī aktivitātes, kas saistītas ar Eiropas Savienības finanšu interešu aizsardzības pasākumiem. Jā</w:t>
      </w:r>
      <w:r w:rsidR="007150F1">
        <w:rPr>
          <w:rFonts w:ascii="Times New Roman" w:eastAsia="Calibri" w:hAnsi="Times New Roman" w:cs="Times New Roman"/>
          <w:sz w:val="24"/>
          <w:szCs w:val="24"/>
        </w:rPr>
        <w:t>atzīmē</w:t>
      </w:r>
      <w:r w:rsidRPr="006566E5">
        <w:rPr>
          <w:rFonts w:ascii="Times New Roman" w:eastAsia="Calibri" w:hAnsi="Times New Roman" w:cs="Times New Roman"/>
          <w:sz w:val="24"/>
          <w:szCs w:val="24"/>
        </w:rPr>
        <w:t xml:space="preserve">, ka Birojs ir pievienojies arī tādiem neformāliem sadarbības tīkliem kā Eiropas partneri pret korupciju </w:t>
      </w:r>
      <w:r w:rsidRPr="006566E5">
        <w:rPr>
          <w:rFonts w:ascii="Times New Roman" w:eastAsia="Calibri" w:hAnsi="Times New Roman" w:cs="Times New Roman"/>
          <w:i/>
          <w:sz w:val="24"/>
          <w:szCs w:val="24"/>
        </w:rPr>
        <w:t xml:space="preserve">(EPAC – </w:t>
      </w:r>
      <w:proofErr w:type="spellStart"/>
      <w:r w:rsidRPr="006566E5">
        <w:rPr>
          <w:rFonts w:ascii="Times New Roman" w:eastAsia="Calibri" w:hAnsi="Times New Roman" w:cs="Times New Roman"/>
          <w:i/>
          <w:sz w:val="24"/>
          <w:szCs w:val="24"/>
        </w:rPr>
        <w:t>European</w:t>
      </w:r>
      <w:proofErr w:type="spellEnd"/>
      <w:r w:rsidRPr="006566E5">
        <w:rPr>
          <w:rFonts w:ascii="Times New Roman" w:eastAsia="Calibri" w:hAnsi="Times New Roman" w:cs="Times New Roman"/>
          <w:i/>
          <w:sz w:val="24"/>
          <w:szCs w:val="24"/>
        </w:rPr>
        <w:t xml:space="preserve"> </w:t>
      </w:r>
      <w:proofErr w:type="spellStart"/>
      <w:r w:rsidRPr="006566E5">
        <w:rPr>
          <w:rFonts w:ascii="Times New Roman" w:eastAsia="Calibri" w:hAnsi="Times New Roman" w:cs="Times New Roman"/>
          <w:i/>
          <w:sz w:val="24"/>
          <w:szCs w:val="24"/>
        </w:rPr>
        <w:t>Partners</w:t>
      </w:r>
      <w:proofErr w:type="spellEnd"/>
      <w:r w:rsidRPr="006566E5">
        <w:rPr>
          <w:rFonts w:ascii="Times New Roman" w:eastAsia="Calibri" w:hAnsi="Times New Roman" w:cs="Times New Roman"/>
          <w:i/>
          <w:sz w:val="24"/>
          <w:szCs w:val="24"/>
        </w:rPr>
        <w:t xml:space="preserve"> </w:t>
      </w:r>
      <w:proofErr w:type="spellStart"/>
      <w:r w:rsidRPr="006566E5">
        <w:rPr>
          <w:rFonts w:ascii="Times New Roman" w:eastAsia="Calibri" w:hAnsi="Times New Roman" w:cs="Times New Roman"/>
          <w:i/>
          <w:sz w:val="24"/>
          <w:szCs w:val="24"/>
        </w:rPr>
        <w:t>against</w:t>
      </w:r>
      <w:proofErr w:type="spellEnd"/>
      <w:r w:rsidRPr="006566E5">
        <w:rPr>
          <w:rFonts w:ascii="Times New Roman" w:eastAsia="Calibri" w:hAnsi="Times New Roman" w:cs="Times New Roman"/>
          <w:i/>
          <w:sz w:val="24"/>
          <w:szCs w:val="24"/>
        </w:rPr>
        <w:t xml:space="preserve"> </w:t>
      </w:r>
      <w:proofErr w:type="spellStart"/>
      <w:r w:rsidRPr="006566E5">
        <w:rPr>
          <w:rFonts w:ascii="Times New Roman" w:eastAsia="Calibri" w:hAnsi="Times New Roman" w:cs="Times New Roman"/>
          <w:i/>
          <w:sz w:val="24"/>
          <w:szCs w:val="24"/>
        </w:rPr>
        <w:t>Corruption</w:t>
      </w:r>
      <w:proofErr w:type="spellEnd"/>
      <w:r w:rsidRPr="006566E5">
        <w:rPr>
          <w:rFonts w:ascii="Times New Roman" w:eastAsia="Calibri" w:hAnsi="Times New Roman" w:cs="Times New Roman"/>
          <w:i/>
          <w:sz w:val="24"/>
          <w:szCs w:val="24"/>
        </w:rPr>
        <w:t>)</w:t>
      </w:r>
      <w:r w:rsidRPr="006566E5">
        <w:rPr>
          <w:rFonts w:ascii="Times New Roman" w:eastAsia="Calibri" w:hAnsi="Times New Roman" w:cs="Times New Roman"/>
          <w:sz w:val="24"/>
          <w:szCs w:val="24"/>
        </w:rPr>
        <w:t xml:space="preserve"> un Godprātības tīkls </w:t>
      </w:r>
      <w:r w:rsidRPr="006566E5">
        <w:rPr>
          <w:rFonts w:ascii="Times New Roman" w:eastAsia="Calibri" w:hAnsi="Times New Roman" w:cs="Times New Roman"/>
          <w:i/>
          <w:sz w:val="24"/>
          <w:szCs w:val="24"/>
        </w:rPr>
        <w:t>(</w:t>
      </w:r>
      <w:proofErr w:type="spellStart"/>
      <w:r w:rsidRPr="006566E5">
        <w:rPr>
          <w:rFonts w:ascii="Times New Roman" w:eastAsia="Calibri" w:hAnsi="Times New Roman" w:cs="Times New Roman"/>
          <w:i/>
          <w:sz w:val="24"/>
          <w:szCs w:val="24"/>
        </w:rPr>
        <w:t>Network</w:t>
      </w:r>
      <w:proofErr w:type="spellEnd"/>
      <w:r w:rsidRPr="006566E5">
        <w:rPr>
          <w:rFonts w:ascii="Times New Roman" w:eastAsia="Calibri" w:hAnsi="Times New Roman" w:cs="Times New Roman"/>
          <w:i/>
          <w:sz w:val="24"/>
          <w:szCs w:val="24"/>
        </w:rPr>
        <w:t xml:space="preserve"> </w:t>
      </w:r>
      <w:proofErr w:type="spellStart"/>
      <w:r w:rsidRPr="006566E5">
        <w:rPr>
          <w:rFonts w:ascii="Times New Roman" w:eastAsia="Calibri" w:hAnsi="Times New Roman" w:cs="Times New Roman"/>
          <w:i/>
          <w:sz w:val="24"/>
          <w:szCs w:val="24"/>
        </w:rPr>
        <w:t>of</w:t>
      </w:r>
      <w:proofErr w:type="spellEnd"/>
      <w:r w:rsidRPr="006566E5">
        <w:rPr>
          <w:rFonts w:ascii="Times New Roman" w:eastAsia="Calibri" w:hAnsi="Times New Roman" w:cs="Times New Roman"/>
          <w:i/>
          <w:sz w:val="24"/>
          <w:szCs w:val="24"/>
        </w:rPr>
        <w:t xml:space="preserve"> </w:t>
      </w:r>
      <w:proofErr w:type="spellStart"/>
      <w:r w:rsidRPr="006566E5">
        <w:rPr>
          <w:rFonts w:ascii="Times New Roman" w:eastAsia="Calibri" w:hAnsi="Times New Roman" w:cs="Times New Roman"/>
          <w:i/>
          <w:sz w:val="24"/>
          <w:szCs w:val="24"/>
        </w:rPr>
        <w:t>Intergity</w:t>
      </w:r>
      <w:proofErr w:type="spellEnd"/>
      <w:r w:rsidRPr="006566E5">
        <w:rPr>
          <w:rFonts w:ascii="Times New Roman" w:eastAsia="Calibri" w:hAnsi="Times New Roman" w:cs="Times New Roman"/>
          <w:i/>
          <w:sz w:val="24"/>
          <w:szCs w:val="24"/>
        </w:rPr>
        <w:t>)</w:t>
      </w:r>
      <w:r w:rsidRPr="006566E5">
        <w:rPr>
          <w:rFonts w:ascii="Times New Roman" w:eastAsia="Calibri" w:hAnsi="Times New Roman" w:cs="Times New Roman"/>
          <w:sz w:val="24"/>
          <w:szCs w:val="24"/>
        </w:rPr>
        <w:t>.</w:t>
      </w:r>
    </w:p>
    <w:p w:rsidR="006566E5" w:rsidRPr="006566E5" w:rsidRDefault="006566E5" w:rsidP="006C79D7">
      <w:pPr>
        <w:spacing w:after="0"/>
        <w:ind w:firstLine="709"/>
        <w:jc w:val="both"/>
        <w:rPr>
          <w:rFonts w:ascii="Times New Roman" w:eastAsia="Calibri" w:hAnsi="Times New Roman" w:cs="Times New Roman"/>
          <w:sz w:val="24"/>
          <w:szCs w:val="24"/>
        </w:rPr>
      </w:pPr>
      <w:r w:rsidRPr="006566E5">
        <w:rPr>
          <w:rFonts w:ascii="Times New Roman" w:eastAsia="Calibri" w:hAnsi="Times New Roman" w:cs="Times New Roman"/>
          <w:sz w:val="24"/>
          <w:szCs w:val="24"/>
        </w:rPr>
        <w:t>No 2017.gada 16.oktobra līdz 20.oktobrim Biroja amatpersonas piedalījās OECD Kukuļošanas apkarošanas starptautiskajos biznesa darījumos darba grupas (</w:t>
      </w:r>
      <w:proofErr w:type="spellStart"/>
      <w:r w:rsidRPr="006566E5">
        <w:rPr>
          <w:rFonts w:ascii="Times New Roman" w:eastAsia="Calibri" w:hAnsi="Times New Roman" w:cs="Times New Roman"/>
          <w:sz w:val="24"/>
          <w:szCs w:val="24"/>
        </w:rPr>
        <w:t>Pretkukuļošanas</w:t>
      </w:r>
      <w:proofErr w:type="spellEnd"/>
      <w:r w:rsidRPr="006566E5">
        <w:rPr>
          <w:rFonts w:ascii="Times New Roman" w:eastAsia="Calibri" w:hAnsi="Times New Roman" w:cs="Times New Roman"/>
          <w:sz w:val="24"/>
          <w:szCs w:val="24"/>
        </w:rPr>
        <w:t xml:space="preserve"> darba grupa) plenārsēdē, kur Latvijas delegācija ziņoja par paveikto attiecībā uz Otrās novērtēšanas fāzes ietvaros izteiktajām rekomendācijām. </w:t>
      </w:r>
      <w:r w:rsidRPr="006566E5">
        <w:rPr>
          <w:rFonts w:ascii="Times New Roman" w:eastAsia="Times New Roman" w:hAnsi="Times New Roman" w:cs="Times New Roman"/>
          <w:sz w:val="24"/>
          <w:szCs w:val="24"/>
          <w:lang w:eastAsia="lv-LV"/>
        </w:rPr>
        <w:t xml:space="preserve">OECD </w:t>
      </w:r>
      <w:proofErr w:type="spellStart"/>
      <w:r w:rsidRPr="006566E5">
        <w:rPr>
          <w:rFonts w:ascii="Times New Roman" w:eastAsia="Times New Roman" w:hAnsi="Times New Roman" w:cs="Times New Roman"/>
          <w:sz w:val="24"/>
          <w:szCs w:val="24"/>
          <w:lang w:eastAsia="lv-LV"/>
        </w:rPr>
        <w:t>Pretkukuļošanas</w:t>
      </w:r>
      <w:proofErr w:type="spellEnd"/>
      <w:r w:rsidRPr="006566E5">
        <w:rPr>
          <w:rFonts w:ascii="Times New Roman" w:eastAsia="Times New Roman" w:hAnsi="Times New Roman" w:cs="Times New Roman"/>
          <w:sz w:val="24"/>
          <w:szCs w:val="24"/>
          <w:lang w:eastAsia="lv-LV"/>
        </w:rPr>
        <w:t xml:space="preserve"> darba grupa sniedza savu vērtējumu par Latvijas progresu attiecībā uz rekomendāciju ieviešanu kukuļoš</w:t>
      </w:r>
      <w:r w:rsidR="00F9286E">
        <w:rPr>
          <w:rFonts w:ascii="Times New Roman" w:eastAsia="Times New Roman" w:hAnsi="Times New Roman" w:cs="Times New Roman"/>
          <w:sz w:val="24"/>
          <w:szCs w:val="24"/>
          <w:lang w:eastAsia="lv-LV"/>
        </w:rPr>
        <w:t>anas apkarošanā</w:t>
      </w:r>
      <w:r w:rsidRPr="006566E5">
        <w:rPr>
          <w:rFonts w:ascii="Times New Roman" w:eastAsia="Times New Roman" w:hAnsi="Times New Roman" w:cs="Times New Roman"/>
          <w:sz w:val="24"/>
          <w:szCs w:val="24"/>
          <w:lang w:eastAsia="lv-LV"/>
        </w:rPr>
        <w:t xml:space="preserve"> un noziedzīgi iegūtu </w:t>
      </w:r>
      <w:r w:rsidR="00F9286E">
        <w:rPr>
          <w:rFonts w:ascii="Times New Roman" w:eastAsia="Times New Roman" w:hAnsi="Times New Roman" w:cs="Times New Roman"/>
          <w:sz w:val="24"/>
          <w:szCs w:val="24"/>
          <w:lang w:eastAsia="lv-LV"/>
        </w:rPr>
        <w:t>līdzekļu legalizācijas novēršanā</w:t>
      </w:r>
      <w:r w:rsidR="00A320EC">
        <w:rPr>
          <w:rFonts w:ascii="Times New Roman" w:eastAsia="Times New Roman" w:hAnsi="Times New Roman" w:cs="Times New Roman"/>
          <w:sz w:val="24"/>
          <w:szCs w:val="24"/>
          <w:lang w:eastAsia="lv-LV"/>
        </w:rPr>
        <w:t>, atzinīgi novērtējot Biroj</w:t>
      </w:r>
      <w:r w:rsidR="007150F1">
        <w:rPr>
          <w:rFonts w:ascii="Times New Roman" w:eastAsia="Times New Roman" w:hAnsi="Times New Roman" w:cs="Times New Roman"/>
          <w:sz w:val="24"/>
          <w:szCs w:val="24"/>
          <w:lang w:eastAsia="lv-LV"/>
        </w:rPr>
        <w:t>a</w:t>
      </w:r>
      <w:r w:rsidR="00A320EC">
        <w:rPr>
          <w:rFonts w:ascii="Times New Roman" w:eastAsia="Times New Roman" w:hAnsi="Times New Roman" w:cs="Times New Roman"/>
          <w:sz w:val="24"/>
          <w:szCs w:val="24"/>
          <w:lang w:eastAsia="lv-LV"/>
        </w:rPr>
        <w:t xml:space="preserve"> paveikto.</w:t>
      </w:r>
      <w:r w:rsidRPr="006566E5">
        <w:rPr>
          <w:rFonts w:ascii="Times New Roman" w:eastAsia="Times New Roman" w:hAnsi="Times New Roman" w:cs="Times New Roman"/>
          <w:sz w:val="24"/>
          <w:szCs w:val="24"/>
          <w:lang w:eastAsia="lv-LV"/>
        </w:rPr>
        <w:t xml:space="preserve"> Kopumā tika atzīts, ka kopš 2015.gada, kad pieņemts Otrās fāzes novērtējuma ziņojums, Latvija ir veikusi būtiskus pasākumus un no izteiktajām 44 rekomendācijām 26 ir izpildītas pilnībā, 13 izpildītas daļēji un 5 rekomendācijas nav izpildītas. No 44 rekomendācijām pilnīgi vai daļējā Biroja kompetencē bija 21 rekomendācija, no kurām tikai divas atzītas</w:t>
      </w:r>
      <w:r w:rsidR="00036365">
        <w:rPr>
          <w:rFonts w:ascii="Times New Roman" w:eastAsia="Times New Roman" w:hAnsi="Times New Roman" w:cs="Times New Roman"/>
          <w:sz w:val="24"/>
          <w:szCs w:val="24"/>
          <w:lang w:eastAsia="lv-LV"/>
        </w:rPr>
        <w:t xml:space="preserve"> </w:t>
      </w:r>
      <w:r w:rsidRPr="006566E5">
        <w:rPr>
          <w:rFonts w:ascii="Times New Roman" w:eastAsia="Times New Roman" w:hAnsi="Times New Roman" w:cs="Times New Roman"/>
          <w:sz w:val="24"/>
          <w:szCs w:val="24"/>
          <w:lang w:eastAsia="lv-LV"/>
        </w:rPr>
        <w:t>par neizpildītām, viena par daļēji izpildītu</w:t>
      </w:r>
      <w:r w:rsidR="00036365">
        <w:rPr>
          <w:rFonts w:ascii="Times New Roman" w:eastAsia="Times New Roman" w:hAnsi="Times New Roman" w:cs="Times New Roman"/>
          <w:sz w:val="24"/>
          <w:szCs w:val="24"/>
          <w:lang w:eastAsia="lv-LV"/>
        </w:rPr>
        <w:t>, savukārt divas daļēji Biroja kompetencē esošas rekomendācijas atzītas par neizpildītām.</w:t>
      </w:r>
    </w:p>
    <w:p w:rsidR="006566E5" w:rsidRDefault="006566E5" w:rsidP="006C79D7">
      <w:pPr>
        <w:spacing w:after="0"/>
        <w:ind w:firstLine="709"/>
        <w:jc w:val="both"/>
        <w:rPr>
          <w:rFonts w:ascii="Times New Roman" w:eastAsia="Calibri" w:hAnsi="Times New Roman" w:cs="Times New Roman"/>
          <w:sz w:val="24"/>
          <w:szCs w:val="24"/>
        </w:rPr>
      </w:pPr>
      <w:r w:rsidRPr="006566E5">
        <w:rPr>
          <w:rFonts w:ascii="Times New Roman" w:eastAsia="Calibri" w:hAnsi="Times New Roman" w:cs="Times New Roman"/>
          <w:sz w:val="24"/>
          <w:szCs w:val="24"/>
        </w:rPr>
        <w:t>Jāņem vērā tas, ka Latvijai šobrīd jau kā OECD dalībvalstij</w:t>
      </w:r>
      <w:r w:rsidR="007150F1">
        <w:rPr>
          <w:rFonts w:ascii="Times New Roman" w:eastAsia="Calibri" w:hAnsi="Times New Roman" w:cs="Times New Roman"/>
          <w:sz w:val="24"/>
          <w:szCs w:val="24"/>
        </w:rPr>
        <w:t>,</w:t>
      </w:r>
      <w:r w:rsidRPr="006566E5">
        <w:rPr>
          <w:rFonts w:ascii="Times New Roman" w:eastAsia="Calibri" w:hAnsi="Times New Roman" w:cs="Times New Roman"/>
          <w:sz w:val="24"/>
          <w:szCs w:val="24"/>
        </w:rPr>
        <w:t xml:space="preserve"> ir jāsniedz savs atbalsts un pieredze arī citu reģionu valstīm, kurām tā varētu būt </w:t>
      </w:r>
      <w:r w:rsidR="00036365">
        <w:rPr>
          <w:rFonts w:ascii="Times New Roman" w:eastAsia="Calibri" w:hAnsi="Times New Roman" w:cs="Times New Roman"/>
          <w:sz w:val="24"/>
          <w:szCs w:val="24"/>
        </w:rPr>
        <w:t>noderīga</w:t>
      </w:r>
      <w:r w:rsidRPr="006566E5">
        <w:rPr>
          <w:rFonts w:ascii="Times New Roman" w:eastAsia="Calibri" w:hAnsi="Times New Roman" w:cs="Times New Roman"/>
          <w:sz w:val="24"/>
          <w:szCs w:val="24"/>
        </w:rPr>
        <w:t xml:space="preserve">, tai skaitā piedaloties dažādos starptautiskos sadarbības formātos, piemēram, OECD Austrumeiropas un </w:t>
      </w:r>
      <w:proofErr w:type="spellStart"/>
      <w:r w:rsidRPr="006566E5">
        <w:rPr>
          <w:rFonts w:ascii="Times New Roman" w:eastAsia="Calibri" w:hAnsi="Times New Roman" w:cs="Times New Roman"/>
          <w:sz w:val="24"/>
          <w:szCs w:val="24"/>
        </w:rPr>
        <w:t>Centrālāzijas</w:t>
      </w:r>
      <w:proofErr w:type="spellEnd"/>
      <w:r w:rsidRPr="006566E5">
        <w:rPr>
          <w:rFonts w:ascii="Times New Roman" w:eastAsia="Calibri" w:hAnsi="Times New Roman" w:cs="Times New Roman"/>
          <w:sz w:val="24"/>
          <w:szCs w:val="24"/>
        </w:rPr>
        <w:t xml:space="preserve"> Pretkorupcijas tīklā (ACN). Līdz šim Birojs veiksmīgi ir pildījis savas kā OECD ACN tīkla dalībvalsts pienākumus, Biroja ekspertiem regulāri piedaloties dažādās OECD ACN Stambulas Pretkorupcijas darbības plāna</w:t>
      </w:r>
      <w:r w:rsidRPr="006566E5">
        <w:rPr>
          <w:rFonts w:ascii="Times New Roman" w:eastAsia="Calibri" w:hAnsi="Times New Roman" w:cs="Times New Roman"/>
          <w:sz w:val="24"/>
          <w:szCs w:val="24"/>
          <w:vertAlign w:val="superscript"/>
        </w:rPr>
        <w:footnoteReference w:id="3"/>
      </w:r>
      <w:r w:rsidRPr="006566E5">
        <w:rPr>
          <w:rFonts w:ascii="Times New Roman" w:eastAsia="Calibri" w:hAnsi="Times New Roman" w:cs="Times New Roman"/>
          <w:sz w:val="24"/>
          <w:szCs w:val="24"/>
        </w:rPr>
        <w:t xml:space="preserve"> aktivitātēs, tai skaitā Austrumeiropas un </w:t>
      </w:r>
      <w:proofErr w:type="spellStart"/>
      <w:r w:rsidRPr="006566E5">
        <w:rPr>
          <w:rFonts w:ascii="Times New Roman" w:eastAsia="Calibri" w:hAnsi="Times New Roman" w:cs="Times New Roman"/>
          <w:sz w:val="24"/>
          <w:szCs w:val="24"/>
        </w:rPr>
        <w:t>Centrālāzijas</w:t>
      </w:r>
      <w:proofErr w:type="spellEnd"/>
      <w:r w:rsidRPr="006566E5">
        <w:rPr>
          <w:rFonts w:ascii="Times New Roman" w:eastAsia="Calibri" w:hAnsi="Times New Roman" w:cs="Times New Roman"/>
          <w:sz w:val="24"/>
          <w:szCs w:val="24"/>
        </w:rPr>
        <w:t xml:space="preserve"> valstu novērtējumos, piemēram</w:t>
      </w:r>
      <w:r>
        <w:rPr>
          <w:rFonts w:ascii="Times New Roman" w:eastAsia="Calibri" w:hAnsi="Times New Roman" w:cs="Times New Roman"/>
          <w:sz w:val="24"/>
          <w:szCs w:val="24"/>
        </w:rPr>
        <w:t>,</w:t>
      </w:r>
      <w:r w:rsidRPr="006566E5">
        <w:rPr>
          <w:rFonts w:ascii="Times New Roman" w:eastAsia="Calibri" w:hAnsi="Times New Roman" w:cs="Times New Roman"/>
          <w:sz w:val="24"/>
          <w:szCs w:val="24"/>
        </w:rPr>
        <w:t xml:space="preserve"> 2017.gada septembrī ACN plenārsēdes laikā vērtējot Mongoliju, kā arī piedaloties reģionālajā seminārā</w:t>
      </w:r>
      <w:r w:rsidR="00A73FF9">
        <w:rPr>
          <w:rFonts w:ascii="Times New Roman" w:eastAsia="Calibri" w:hAnsi="Times New Roman" w:cs="Times New Roman"/>
          <w:sz w:val="24"/>
          <w:szCs w:val="24"/>
        </w:rPr>
        <w:t xml:space="preserve"> Baku – 2017.gada oktobrī.</w:t>
      </w:r>
    </w:p>
    <w:p w:rsidR="00504F22" w:rsidRPr="006566E5" w:rsidRDefault="00504F22" w:rsidP="006C79D7">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Pārskata periodā, l</w:t>
      </w:r>
      <w:r w:rsidRPr="00504F22">
        <w:rPr>
          <w:rFonts w:ascii="Times New Roman" w:eastAsia="Calibri" w:hAnsi="Times New Roman" w:cs="Times New Roman"/>
          <w:sz w:val="24"/>
          <w:szCs w:val="24"/>
        </w:rPr>
        <w:t xml:space="preserve">ai dalītos Latvijas pozitīvajā pieredzē, Birojs sadarbībā ar Valsts ieņēmumu dienestu sagatavoja izvērstas un detalizētas atbildes uz </w:t>
      </w:r>
      <w:r>
        <w:rPr>
          <w:rFonts w:ascii="Times New Roman" w:eastAsia="Calibri" w:hAnsi="Times New Roman" w:cs="Times New Roman"/>
          <w:sz w:val="24"/>
          <w:szCs w:val="24"/>
        </w:rPr>
        <w:t xml:space="preserve">OECD ACN </w:t>
      </w:r>
      <w:r w:rsidRPr="00504F22">
        <w:rPr>
          <w:rFonts w:ascii="Times New Roman" w:eastAsia="Calibri" w:hAnsi="Times New Roman" w:cs="Times New Roman"/>
          <w:sz w:val="24"/>
          <w:szCs w:val="24"/>
        </w:rPr>
        <w:t>sagatavoto anketu par amatpersonu ienākumu dek</w:t>
      </w:r>
      <w:r>
        <w:rPr>
          <w:rFonts w:ascii="Times New Roman" w:eastAsia="Calibri" w:hAnsi="Times New Roman" w:cs="Times New Roman"/>
          <w:sz w:val="24"/>
          <w:szCs w:val="24"/>
        </w:rPr>
        <w:t>larēšanas sistēmu un regulējumu. N</w:t>
      </w:r>
      <w:r w:rsidRPr="00504F22">
        <w:rPr>
          <w:rFonts w:ascii="Times New Roman" w:eastAsia="Calibri" w:hAnsi="Times New Roman" w:cs="Times New Roman"/>
          <w:sz w:val="24"/>
          <w:szCs w:val="24"/>
        </w:rPr>
        <w:t>ovērtējot Latvijas ieguldījumu, kā arī pieredzi ša</w:t>
      </w:r>
      <w:r w:rsidR="007150F1">
        <w:rPr>
          <w:rFonts w:ascii="Times New Roman" w:eastAsia="Calibri" w:hAnsi="Times New Roman" w:cs="Times New Roman"/>
          <w:sz w:val="24"/>
          <w:szCs w:val="24"/>
        </w:rPr>
        <w:t xml:space="preserve">jā jautājumā, OECD ACN pārstāvji uzaicināja </w:t>
      </w:r>
      <w:r w:rsidRPr="00504F22">
        <w:rPr>
          <w:rFonts w:ascii="Times New Roman" w:eastAsia="Calibri" w:hAnsi="Times New Roman" w:cs="Times New Roman"/>
          <w:sz w:val="24"/>
          <w:szCs w:val="24"/>
        </w:rPr>
        <w:t>Latvijas pārstāvjus</w:t>
      </w:r>
      <w:r w:rsidR="007150F1">
        <w:rPr>
          <w:rFonts w:ascii="Times New Roman" w:eastAsia="Calibri" w:hAnsi="Times New Roman" w:cs="Times New Roman"/>
          <w:sz w:val="24"/>
          <w:szCs w:val="24"/>
        </w:rPr>
        <w:t xml:space="preserve"> piedalīties </w:t>
      </w:r>
      <w:r w:rsidRPr="00504F22">
        <w:rPr>
          <w:rFonts w:ascii="Times New Roman" w:eastAsia="Calibri" w:hAnsi="Times New Roman" w:cs="Times New Roman"/>
          <w:sz w:val="24"/>
          <w:szCs w:val="24"/>
        </w:rPr>
        <w:t>OECD ACN rīkotajā konferencē. Konference norisinājās</w:t>
      </w:r>
      <w:r>
        <w:rPr>
          <w:rFonts w:ascii="Times New Roman" w:eastAsia="Calibri" w:hAnsi="Times New Roman" w:cs="Times New Roman"/>
          <w:sz w:val="24"/>
          <w:szCs w:val="24"/>
        </w:rPr>
        <w:t xml:space="preserve"> Tbilisi (Gruzija)</w:t>
      </w:r>
      <w:r w:rsidRPr="00504F22">
        <w:rPr>
          <w:rFonts w:ascii="Times New Roman" w:eastAsia="Calibri" w:hAnsi="Times New Roman" w:cs="Times New Roman"/>
          <w:sz w:val="24"/>
          <w:szCs w:val="24"/>
        </w:rPr>
        <w:t xml:space="preserve"> </w:t>
      </w:r>
      <w:r w:rsidR="007150F1">
        <w:rPr>
          <w:rFonts w:ascii="Times New Roman" w:eastAsia="Calibri" w:hAnsi="Times New Roman" w:cs="Times New Roman"/>
          <w:sz w:val="24"/>
          <w:szCs w:val="24"/>
        </w:rPr>
        <w:t>no 2017.</w:t>
      </w:r>
      <w:r>
        <w:rPr>
          <w:rFonts w:ascii="Times New Roman" w:eastAsia="Calibri" w:hAnsi="Times New Roman" w:cs="Times New Roman"/>
          <w:sz w:val="24"/>
          <w:szCs w:val="24"/>
        </w:rPr>
        <w:t>gada 6.jūnija līdz 7.</w:t>
      </w:r>
      <w:r w:rsidRPr="00504F22">
        <w:rPr>
          <w:rFonts w:ascii="Times New Roman" w:eastAsia="Calibri" w:hAnsi="Times New Roman" w:cs="Times New Roman"/>
          <w:sz w:val="24"/>
          <w:szCs w:val="24"/>
        </w:rPr>
        <w:t>jūnijam un tajā piedalījās</w:t>
      </w:r>
      <w:r>
        <w:rPr>
          <w:rFonts w:ascii="Times New Roman" w:eastAsia="Calibri" w:hAnsi="Times New Roman" w:cs="Times New Roman"/>
          <w:sz w:val="24"/>
          <w:szCs w:val="24"/>
        </w:rPr>
        <w:t xml:space="preserve"> pārstāvji</w:t>
      </w:r>
      <w:r w:rsidRPr="00504F2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w:t>
      </w:r>
      <w:r w:rsidRPr="00504F22">
        <w:rPr>
          <w:rFonts w:ascii="Times New Roman" w:eastAsia="Calibri" w:hAnsi="Times New Roman" w:cs="Times New Roman"/>
          <w:sz w:val="24"/>
          <w:szCs w:val="24"/>
        </w:rPr>
        <w:t>Biroja</w:t>
      </w:r>
      <w:r>
        <w:rPr>
          <w:rFonts w:ascii="Times New Roman" w:eastAsia="Calibri" w:hAnsi="Times New Roman" w:cs="Times New Roman"/>
          <w:sz w:val="24"/>
          <w:szCs w:val="24"/>
        </w:rPr>
        <w:t xml:space="preserve"> un</w:t>
      </w:r>
      <w:r w:rsidRPr="00504F22">
        <w:rPr>
          <w:rFonts w:ascii="Times New Roman" w:eastAsia="Calibri" w:hAnsi="Times New Roman" w:cs="Times New Roman"/>
          <w:sz w:val="24"/>
          <w:szCs w:val="24"/>
        </w:rPr>
        <w:t xml:space="preserve"> Latvijas Republikas Valsts kontroles.</w:t>
      </w:r>
    </w:p>
    <w:p w:rsidR="006566E5" w:rsidRPr="006566E5" w:rsidRDefault="00507482" w:rsidP="006C79D7">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Pārskata periodā Biroja pārstāvji ir piedalījušies</w:t>
      </w:r>
      <w:r w:rsidR="00E476B6">
        <w:rPr>
          <w:rFonts w:ascii="Times New Roman" w:eastAsia="Calibri" w:hAnsi="Times New Roman" w:cs="Times New Roman"/>
          <w:sz w:val="24"/>
          <w:szCs w:val="24"/>
        </w:rPr>
        <w:t xml:space="preserve"> četrās </w:t>
      </w:r>
      <w:r>
        <w:rPr>
          <w:rFonts w:ascii="Times New Roman" w:eastAsia="Calibri" w:hAnsi="Times New Roman" w:cs="Times New Roman"/>
          <w:sz w:val="24"/>
          <w:szCs w:val="24"/>
        </w:rPr>
        <w:t>GRECO</w:t>
      </w:r>
      <w:r w:rsidR="00E476B6" w:rsidRPr="00E476B6">
        <w:rPr>
          <w:rFonts w:ascii="Times New Roman" w:eastAsia="Calibri" w:hAnsi="Times New Roman" w:cs="Times New Roman"/>
          <w:sz w:val="24"/>
          <w:szCs w:val="24"/>
        </w:rPr>
        <w:t xml:space="preserve"> </w:t>
      </w:r>
      <w:r w:rsidR="00E476B6">
        <w:rPr>
          <w:rFonts w:ascii="Times New Roman" w:eastAsia="Calibri" w:hAnsi="Times New Roman" w:cs="Times New Roman"/>
          <w:sz w:val="24"/>
          <w:szCs w:val="24"/>
        </w:rPr>
        <w:t>plenārsēdēs, tajā skaitā l</w:t>
      </w:r>
      <w:r>
        <w:rPr>
          <w:rFonts w:ascii="Times New Roman" w:eastAsia="Calibri" w:hAnsi="Times New Roman" w:cs="Times New Roman"/>
          <w:sz w:val="24"/>
          <w:szCs w:val="24"/>
        </w:rPr>
        <w:t>aikposmā</w:t>
      </w:r>
      <w:r w:rsidR="007732D5" w:rsidRPr="007732D5">
        <w:rPr>
          <w:rFonts w:ascii="Times New Roman" w:eastAsia="Calibri" w:hAnsi="Times New Roman" w:cs="Times New Roman"/>
          <w:sz w:val="24"/>
          <w:szCs w:val="24"/>
        </w:rPr>
        <w:t xml:space="preserve"> </w:t>
      </w:r>
      <w:r>
        <w:rPr>
          <w:rFonts w:ascii="Times New Roman" w:eastAsia="Calibri" w:hAnsi="Times New Roman" w:cs="Times New Roman"/>
          <w:sz w:val="24"/>
          <w:szCs w:val="24"/>
        </w:rPr>
        <w:t>no 2017.</w:t>
      </w:r>
      <w:r w:rsidR="007732D5">
        <w:rPr>
          <w:rFonts w:ascii="Times New Roman" w:eastAsia="Calibri" w:hAnsi="Times New Roman" w:cs="Times New Roman"/>
          <w:sz w:val="24"/>
          <w:szCs w:val="24"/>
        </w:rPr>
        <w:t>gada 20.marta līdz 24.</w:t>
      </w:r>
      <w:r w:rsidR="007732D5" w:rsidRPr="007732D5">
        <w:rPr>
          <w:rFonts w:ascii="Times New Roman" w:eastAsia="Calibri" w:hAnsi="Times New Roman" w:cs="Times New Roman"/>
          <w:sz w:val="24"/>
          <w:szCs w:val="24"/>
        </w:rPr>
        <w:t xml:space="preserve">martam Biroja pārstāvji </w:t>
      </w:r>
      <w:r w:rsidR="007732D5">
        <w:rPr>
          <w:rFonts w:ascii="Times New Roman" w:eastAsia="Calibri" w:hAnsi="Times New Roman" w:cs="Times New Roman"/>
          <w:sz w:val="24"/>
          <w:szCs w:val="24"/>
        </w:rPr>
        <w:t xml:space="preserve">piedalījās </w:t>
      </w:r>
      <w:r>
        <w:rPr>
          <w:rFonts w:ascii="Times New Roman" w:eastAsia="Calibri" w:hAnsi="Times New Roman" w:cs="Times New Roman"/>
          <w:sz w:val="24"/>
          <w:szCs w:val="24"/>
        </w:rPr>
        <w:t>GRECO</w:t>
      </w:r>
      <w:r w:rsidR="007732D5" w:rsidRPr="007732D5">
        <w:rPr>
          <w:rFonts w:ascii="Times New Roman" w:eastAsia="Calibri" w:hAnsi="Times New Roman" w:cs="Times New Roman"/>
          <w:sz w:val="24"/>
          <w:szCs w:val="24"/>
        </w:rPr>
        <w:t xml:space="preserve"> </w:t>
      </w:r>
      <w:r w:rsidR="007732D5">
        <w:rPr>
          <w:rFonts w:ascii="Times New Roman" w:eastAsia="Calibri" w:hAnsi="Times New Roman" w:cs="Times New Roman"/>
          <w:sz w:val="24"/>
          <w:szCs w:val="24"/>
        </w:rPr>
        <w:t>75.</w:t>
      </w:r>
      <w:r w:rsidR="007732D5" w:rsidRPr="007732D5">
        <w:rPr>
          <w:rFonts w:ascii="Times New Roman" w:eastAsia="Calibri" w:hAnsi="Times New Roman" w:cs="Times New Roman"/>
          <w:sz w:val="24"/>
          <w:szCs w:val="24"/>
        </w:rPr>
        <w:t>plenārsēdē, kuras laikā izskatīti citu valstu (Baltkrievija, Lietuva, Vācija u.c.) atbilstības ziņojumi</w:t>
      </w:r>
      <w:r w:rsidR="007732D5">
        <w:rPr>
          <w:rFonts w:ascii="Times New Roman" w:eastAsia="Calibri" w:hAnsi="Times New Roman" w:cs="Times New Roman"/>
          <w:sz w:val="24"/>
          <w:szCs w:val="24"/>
        </w:rPr>
        <w:t>. Savukārt n</w:t>
      </w:r>
      <w:r w:rsidR="006566E5" w:rsidRPr="006566E5">
        <w:rPr>
          <w:rFonts w:ascii="Times New Roman" w:eastAsia="Calibri" w:hAnsi="Times New Roman" w:cs="Times New Roman"/>
          <w:sz w:val="24"/>
          <w:szCs w:val="24"/>
        </w:rPr>
        <w:t xml:space="preserve">o 2017.gada 4.decembra līdz 7.decembrim </w:t>
      </w:r>
      <w:r w:rsidR="00A73FF9">
        <w:rPr>
          <w:rFonts w:ascii="Times New Roman" w:eastAsia="Calibri" w:hAnsi="Times New Roman" w:cs="Times New Roman"/>
          <w:sz w:val="24"/>
          <w:szCs w:val="24"/>
        </w:rPr>
        <w:t xml:space="preserve">Biroja </w:t>
      </w:r>
      <w:r w:rsidR="006566E5" w:rsidRPr="006566E5">
        <w:rPr>
          <w:rFonts w:ascii="Times New Roman" w:eastAsia="Calibri" w:hAnsi="Times New Roman" w:cs="Times New Roman"/>
          <w:sz w:val="24"/>
          <w:szCs w:val="24"/>
        </w:rPr>
        <w:t>pārstāvis piedalījās 78.plenārsēdē</w:t>
      </w:r>
      <w:r w:rsidR="007732D5">
        <w:rPr>
          <w:rFonts w:ascii="Times New Roman" w:eastAsia="Calibri" w:hAnsi="Times New Roman" w:cs="Times New Roman"/>
          <w:sz w:val="24"/>
          <w:szCs w:val="24"/>
        </w:rPr>
        <w:t>, kuras</w:t>
      </w:r>
      <w:r w:rsidR="006566E5" w:rsidRPr="006566E5">
        <w:rPr>
          <w:rFonts w:ascii="Times New Roman" w:eastAsia="Calibri" w:hAnsi="Times New Roman" w:cs="Times New Roman"/>
          <w:sz w:val="24"/>
          <w:szCs w:val="24"/>
        </w:rPr>
        <w:t xml:space="preserve"> laikā pieņemti divi pirmie ziņojumi V novērtēšanas kārtas ietvaros attiecībā uz Lielbritāniju un Slovēniju. GRECO ietvaros 2017.gada otrajā pusgadā uzsākta Latvijas V novērtēšanas kārta, kuras laikā</w:t>
      </w:r>
      <w:r w:rsidR="007150F1">
        <w:rPr>
          <w:rFonts w:ascii="Times New Roman" w:eastAsia="Calibri" w:hAnsi="Times New Roman" w:cs="Times New Roman"/>
          <w:sz w:val="24"/>
          <w:szCs w:val="24"/>
        </w:rPr>
        <w:t xml:space="preserve"> tika</w:t>
      </w:r>
      <w:r w:rsidR="006566E5" w:rsidRPr="006566E5">
        <w:rPr>
          <w:rFonts w:ascii="Times New Roman" w:eastAsia="Calibri" w:hAnsi="Times New Roman" w:cs="Times New Roman"/>
          <w:sz w:val="24"/>
          <w:szCs w:val="24"/>
        </w:rPr>
        <w:t xml:space="preserve"> vērtēta korupcijas novēršana un godprātības veicināšana attiecībā uz izpildvaras augstākajām amatpersonām un tiesībsargājošajām iestādēm. Uzsākot novērtēšanu, </w:t>
      </w:r>
      <w:r w:rsidR="007B27B6">
        <w:rPr>
          <w:rFonts w:ascii="Times New Roman" w:eastAsia="Calibri" w:hAnsi="Times New Roman" w:cs="Times New Roman"/>
          <w:sz w:val="24"/>
          <w:szCs w:val="24"/>
        </w:rPr>
        <w:t>iesaistītās institūcijas</w:t>
      </w:r>
      <w:r w:rsidR="006566E5" w:rsidRPr="006566E5">
        <w:rPr>
          <w:rFonts w:ascii="Times New Roman" w:eastAsia="Calibri" w:hAnsi="Times New Roman" w:cs="Times New Roman"/>
          <w:sz w:val="24"/>
          <w:szCs w:val="24"/>
        </w:rPr>
        <w:t xml:space="preserve"> snie</w:t>
      </w:r>
      <w:r w:rsidR="007B27B6">
        <w:rPr>
          <w:rFonts w:ascii="Times New Roman" w:eastAsia="Calibri" w:hAnsi="Times New Roman" w:cs="Times New Roman"/>
          <w:sz w:val="24"/>
          <w:szCs w:val="24"/>
        </w:rPr>
        <w:t>dza</w:t>
      </w:r>
      <w:r w:rsidR="006566E5" w:rsidRPr="006566E5">
        <w:rPr>
          <w:rFonts w:ascii="Times New Roman" w:eastAsia="Calibri" w:hAnsi="Times New Roman" w:cs="Times New Roman"/>
          <w:sz w:val="24"/>
          <w:szCs w:val="24"/>
        </w:rPr>
        <w:t xml:space="preserve"> apjomīgas atbildes uz GRECO izstrādātajiem jautājumiem. No 2017.gada 11.decembr</w:t>
      </w:r>
      <w:r w:rsidR="007150F1">
        <w:rPr>
          <w:rFonts w:ascii="Times New Roman" w:eastAsia="Calibri" w:hAnsi="Times New Roman" w:cs="Times New Roman"/>
          <w:sz w:val="24"/>
          <w:szCs w:val="24"/>
        </w:rPr>
        <w:t>a</w:t>
      </w:r>
      <w:r w:rsidR="006566E5" w:rsidRPr="006566E5">
        <w:rPr>
          <w:rFonts w:ascii="Times New Roman" w:eastAsia="Calibri" w:hAnsi="Times New Roman" w:cs="Times New Roman"/>
          <w:sz w:val="24"/>
          <w:szCs w:val="24"/>
        </w:rPr>
        <w:t xml:space="preserve"> līdz 15.decembrim </w:t>
      </w:r>
      <w:r w:rsidR="00A73FF9">
        <w:rPr>
          <w:rFonts w:ascii="Times New Roman" w:eastAsia="Calibri" w:hAnsi="Times New Roman" w:cs="Times New Roman"/>
          <w:sz w:val="24"/>
          <w:szCs w:val="24"/>
        </w:rPr>
        <w:t>Biroja</w:t>
      </w:r>
      <w:r w:rsidR="006566E5" w:rsidRPr="006566E5">
        <w:rPr>
          <w:rFonts w:ascii="Times New Roman" w:eastAsia="Calibri" w:hAnsi="Times New Roman" w:cs="Times New Roman"/>
          <w:sz w:val="24"/>
          <w:szCs w:val="24"/>
        </w:rPr>
        <w:t xml:space="preserve"> amatpersonas organizēja starptautisko ekspertu uzņemšanu Rīgā. Vizītes laikā eksperti tik</w:t>
      </w:r>
      <w:r w:rsidR="007150F1">
        <w:rPr>
          <w:rFonts w:ascii="Times New Roman" w:eastAsia="Calibri" w:hAnsi="Times New Roman" w:cs="Times New Roman"/>
          <w:sz w:val="24"/>
          <w:szCs w:val="24"/>
        </w:rPr>
        <w:t>ās</w:t>
      </w:r>
      <w:r w:rsidR="006566E5" w:rsidRPr="006566E5">
        <w:rPr>
          <w:rFonts w:ascii="Times New Roman" w:eastAsia="Calibri" w:hAnsi="Times New Roman" w:cs="Times New Roman"/>
          <w:sz w:val="24"/>
          <w:szCs w:val="24"/>
        </w:rPr>
        <w:t xml:space="preserve"> ar valsts pārvaldes iestāžu (Valsts kanceleja, Valsts ieņēmumu dienests, Valsts kontrole u.c.), kā arī tiesībsargājošo iestāžu (Valsts policija, Valsts robežsardze, Iekšējās drošības birojs, </w:t>
      </w:r>
      <w:r w:rsidR="00A73FF9">
        <w:rPr>
          <w:rFonts w:ascii="Times New Roman" w:eastAsia="Calibri" w:hAnsi="Times New Roman" w:cs="Times New Roman"/>
          <w:sz w:val="24"/>
          <w:szCs w:val="24"/>
        </w:rPr>
        <w:t>Biroj</w:t>
      </w:r>
      <w:r w:rsidR="007150F1">
        <w:rPr>
          <w:rFonts w:ascii="Times New Roman" w:eastAsia="Calibri" w:hAnsi="Times New Roman" w:cs="Times New Roman"/>
          <w:sz w:val="24"/>
          <w:szCs w:val="24"/>
        </w:rPr>
        <w:t>s</w:t>
      </w:r>
      <w:r w:rsidR="006566E5" w:rsidRPr="006566E5">
        <w:rPr>
          <w:rFonts w:ascii="Times New Roman" w:eastAsia="Calibri" w:hAnsi="Times New Roman" w:cs="Times New Roman"/>
          <w:sz w:val="24"/>
          <w:szCs w:val="24"/>
        </w:rPr>
        <w:t xml:space="preserve">) pārstāvjiem, kuru kompetence tiek vērtēta GRECO </w:t>
      </w:r>
      <w:r>
        <w:rPr>
          <w:rFonts w:ascii="Times New Roman" w:eastAsia="Calibri" w:hAnsi="Times New Roman" w:cs="Times New Roman"/>
          <w:sz w:val="24"/>
          <w:szCs w:val="24"/>
        </w:rPr>
        <w:t xml:space="preserve">V </w:t>
      </w:r>
      <w:r w:rsidR="006566E5" w:rsidRPr="006566E5">
        <w:rPr>
          <w:rFonts w:ascii="Times New Roman" w:eastAsia="Calibri" w:hAnsi="Times New Roman" w:cs="Times New Roman"/>
          <w:sz w:val="24"/>
          <w:szCs w:val="24"/>
        </w:rPr>
        <w:t>novērtēšanas kārtas ietvaros. Biroja amatpersonas ekspertiem sniedza informāciju par Latvijas pretkorupcijas politiku un tās tiesisko regulējumu, korupcijas novēršanu, tostarp</w:t>
      </w:r>
      <w:r w:rsidR="007150F1">
        <w:rPr>
          <w:rFonts w:ascii="Times New Roman" w:eastAsia="Calibri" w:hAnsi="Times New Roman" w:cs="Times New Roman"/>
          <w:sz w:val="24"/>
          <w:szCs w:val="24"/>
        </w:rPr>
        <w:t>,</w:t>
      </w:r>
      <w:r w:rsidR="006566E5" w:rsidRPr="006566E5">
        <w:rPr>
          <w:rFonts w:ascii="Times New Roman" w:eastAsia="Calibri" w:hAnsi="Times New Roman" w:cs="Times New Roman"/>
          <w:sz w:val="24"/>
          <w:szCs w:val="24"/>
        </w:rPr>
        <w:t xml:space="preserve"> kādi pasākumi veikti profesionālās godprātības veicināšanai, valsts amatpersonu interešu konflikta novēršanai, vai un kādi ir izstrādāti ētiskas rīcības standarti.</w:t>
      </w:r>
    </w:p>
    <w:p w:rsidR="006566E5" w:rsidRPr="006566E5" w:rsidRDefault="006566E5" w:rsidP="006C79D7">
      <w:pPr>
        <w:spacing w:after="0"/>
        <w:ind w:firstLine="709"/>
        <w:jc w:val="both"/>
        <w:rPr>
          <w:rFonts w:ascii="Times New Roman" w:eastAsia="Calibri" w:hAnsi="Times New Roman" w:cs="Times New Roman"/>
          <w:sz w:val="24"/>
          <w:szCs w:val="24"/>
        </w:rPr>
      </w:pPr>
      <w:r w:rsidRPr="006566E5">
        <w:rPr>
          <w:rFonts w:ascii="Times New Roman" w:eastAsia="Calibri" w:hAnsi="Times New Roman" w:cs="Times New Roman"/>
          <w:sz w:val="24"/>
          <w:szCs w:val="24"/>
        </w:rPr>
        <w:t xml:space="preserve">Jānorāda, ka </w:t>
      </w:r>
      <w:r w:rsidR="00857658">
        <w:rPr>
          <w:rFonts w:ascii="Times New Roman" w:eastAsia="Calibri" w:hAnsi="Times New Roman" w:cs="Times New Roman"/>
          <w:sz w:val="24"/>
          <w:szCs w:val="24"/>
        </w:rPr>
        <w:t>pārskata periodā Birojs</w:t>
      </w:r>
      <w:r w:rsidRPr="006566E5">
        <w:rPr>
          <w:rFonts w:ascii="Times New Roman" w:eastAsia="Calibri" w:hAnsi="Times New Roman" w:cs="Times New Roman"/>
          <w:sz w:val="24"/>
          <w:szCs w:val="24"/>
        </w:rPr>
        <w:t xml:space="preserve"> turpinā</w:t>
      </w:r>
      <w:r w:rsidR="00857658">
        <w:rPr>
          <w:rFonts w:ascii="Times New Roman" w:eastAsia="Calibri" w:hAnsi="Times New Roman" w:cs="Times New Roman"/>
          <w:sz w:val="24"/>
          <w:szCs w:val="24"/>
        </w:rPr>
        <w:t>ja</w:t>
      </w:r>
      <w:r w:rsidRPr="006566E5">
        <w:rPr>
          <w:rFonts w:ascii="Times New Roman" w:eastAsia="Calibri" w:hAnsi="Times New Roman" w:cs="Times New Roman"/>
          <w:sz w:val="24"/>
          <w:szCs w:val="24"/>
        </w:rPr>
        <w:t xml:space="preserve"> darb</w:t>
      </w:r>
      <w:r w:rsidR="00857658">
        <w:rPr>
          <w:rFonts w:ascii="Times New Roman" w:eastAsia="Calibri" w:hAnsi="Times New Roman" w:cs="Times New Roman"/>
          <w:sz w:val="24"/>
          <w:szCs w:val="24"/>
        </w:rPr>
        <w:t>u</w:t>
      </w:r>
      <w:r w:rsidRPr="006566E5">
        <w:rPr>
          <w:rFonts w:ascii="Times New Roman" w:eastAsia="Calibri" w:hAnsi="Times New Roman" w:cs="Times New Roman"/>
          <w:sz w:val="24"/>
          <w:szCs w:val="24"/>
        </w:rPr>
        <w:t xml:space="preserve"> arī pie to rekomendāciju izpildes, kas izteiktas GRECO IV novērtēšanas kārtas ietvaros par korupcijas novēršanu attiecībā uz Saeimas deputātiem, prokuroriem un tiesnešiem. Pēdējā atbilstības ziņojumā secināts, ka sešas no 14 rekomendācijām ir izpildītas, trīs rekomendācijas ir daļēji izpildītas, bet piecas rekomendācijas joprojām </w:t>
      </w:r>
      <w:r w:rsidR="004B54BD">
        <w:rPr>
          <w:rFonts w:ascii="Times New Roman" w:eastAsia="Calibri" w:hAnsi="Times New Roman" w:cs="Times New Roman"/>
          <w:sz w:val="24"/>
          <w:szCs w:val="24"/>
        </w:rPr>
        <w:t xml:space="preserve">ir </w:t>
      </w:r>
      <w:r w:rsidRPr="006566E5">
        <w:rPr>
          <w:rFonts w:ascii="Times New Roman" w:eastAsia="Calibri" w:hAnsi="Times New Roman" w:cs="Times New Roman"/>
          <w:sz w:val="24"/>
          <w:szCs w:val="24"/>
        </w:rPr>
        <w:t>neizpildītas</w:t>
      </w:r>
      <w:r w:rsidR="004B54BD">
        <w:rPr>
          <w:rFonts w:ascii="Times New Roman" w:eastAsia="Calibri" w:hAnsi="Times New Roman" w:cs="Times New Roman"/>
          <w:sz w:val="24"/>
          <w:szCs w:val="24"/>
        </w:rPr>
        <w:t>.</w:t>
      </w:r>
    </w:p>
    <w:p w:rsidR="006566E5" w:rsidRPr="0090706F" w:rsidRDefault="006566E5" w:rsidP="006C79D7">
      <w:pPr>
        <w:spacing w:after="0"/>
        <w:ind w:firstLine="709"/>
        <w:jc w:val="both"/>
        <w:rPr>
          <w:rFonts w:ascii="Times New Roman" w:eastAsia="Calibri" w:hAnsi="Times New Roman" w:cs="Times New Roman"/>
          <w:color w:val="000000" w:themeColor="text1"/>
          <w:sz w:val="24"/>
          <w:szCs w:val="24"/>
        </w:rPr>
      </w:pPr>
      <w:r w:rsidRPr="0090706F">
        <w:rPr>
          <w:rFonts w:ascii="Times New Roman" w:eastAsia="Calibri" w:hAnsi="Times New Roman" w:cs="Times New Roman"/>
          <w:color w:val="000000" w:themeColor="text1"/>
          <w:sz w:val="24"/>
          <w:szCs w:val="24"/>
        </w:rPr>
        <w:t xml:space="preserve">No 2017.gada 30.oktobra līdz 10.novembrim Latvijā ieradās Eiropas Padomes </w:t>
      </w:r>
      <w:proofErr w:type="spellStart"/>
      <w:r w:rsidRPr="0090706F">
        <w:rPr>
          <w:rFonts w:ascii="Times New Roman" w:eastAsia="Calibri" w:hAnsi="Times New Roman" w:cs="Times New Roman"/>
          <w:i/>
          <w:color w:val="000000" w:themeColor="text1"/>
          <w:sz w:val="24"/>
          <w:szCs w:val="24"/>
        </w:rPr>
        <w:t>Moneyval</w:t>
      </w:r>
      <w:proofErr w:type="spellEnd"/>
      <w:r w:rsidRPr="0090706F">
        <w:rPr>
          <w:rFonts w:ascii="Times New Roman" w:eastAsia="Calibri" w:hAnsi="Times New Roman" w:cs="Times New Roman"/>
          <w:color w:val="000000" w:themeColor="text1"/>
          <w:sz w:val="24"/>
          <w:szCs w:val="24"/>
        </w:rPr>
        <w:t xml:space="preserve"> komisija un starptautiskās organizācijas </w:t>
      </w:r>
      <w:proofErr w:type="spellStart"/>
      <w:r w:rsidRPr="0090706F">
        <w:rPr>
          <w:rFonts w:ascii="Times New Roman" w:eastAsia="Calibri" w:hAnsi="Times New Roman" w:cs="Times New Roman"/>
          <w:i/>
          <w:color w:val="000000" w:themeColor="text1"/>
          <w:sz w:val="24"/>
          <w:szCs w:val="24"/>
        </w:rPr>
        <w:t>Financial</w:t>
      </w:r>
      <w:proofErr w:type="spellEnd"/>
      <w:r w:rsidRPr="0090706F">
        <w:rPr>
          <w:rFonts w:ascii="Times New Roman" w:eastAsia="Calibri" w:hAnsi="Times New Roman" w:cs="Times New Roman"/>
          <w:i/>
          <w:color w:val="000000" w:themeColor="text1"/>
          <w:sz w:val="24"/>
          <w:szCs w:val="24"/>
        </w:rPr>
        <w:t xml:space="preserve"> </w:t>
      </w:r>
      <w:proofErr w:type="spellStart"/>
      <w:r w:rsidRPr="0090706F">
        <w:rPr>
          <w:rFonts w:ascii="Times New Roman" w:eastAsia="Calibri" w:hAnsi="Times New Roman" w:cs="Times New Roman"/>
          <w:i/>
          <w:color w:val="000000" w:themeColor="text1"/>
          <w:sz w:val="24"/>
          <w:szCs w:val="24"/>
        </w:rPr>
        <w:t>Action</w:t>
      </w:r>
      <w:proofErr w:type="spellEnd"/>
      <w:r w:rsidRPr="0090706F">
        <w:rPr>
          <w:rFonts w:ascii="Times New Roman" w:eastAsia="Calibri" w:hAnsi="Times New Roman" w:cs="Times New Roman"/>
          <w:i/>
          <w:color w:val="000000" w:themeColor="text1"/>
          <w:sz w:val="24"/>
          <w:szCs w:val="24"/>
        </w:rPr>
        <w:t xml:space="preserve"> </w:t>
      </w:r>
      <w:proofErr w:type="spellStart"/>
      <w:r w:rsidRPr="0090706F">
        <w:rPr>
          <w:rFonts w:ascii="Times New Roman" w:eastAsia="Calibri" w:hAnsi="Times New Roman" w:cs="Times New Roman"/>
          <w:i/>
          <w:color w:val="000000" w:themeColor="text1"/>
          <w:sz w:val="24"/>
          <w:szCs w:val="24"/>
        </w:rPr>
        <w:t>Task</w:t>
      </w:r>
      <w:proofErr w:type="spellEnd"/>
      <w:r w:rsidRPr="0090706F">
        <w:rPr>
          <w:rFonts w:ascii="Times New Roman" w:eastAsia="Calibri" w:hAnsi="Times New Roman" w:cs="Times New Roman"/>
          <w:i/>
          <w:color w:val="000000" w:themeColor="text1"/>
          <w:sz w:val="24"/>
          <w:szCs w:val="24"/>
        </w:rPr>
        <w:t xml:space="preserve"> </w:t>
      </w:r>
      <w:proofErr w:type="spellStart"/>
      <w:r w:rsidRPr="0090706F">
        <w:rPr>
          <w:rFonts w:ascii="Times New Roman" w:eastAsia="Calibri" w:hAnsi="Times New Roman" w:cs="Times New Roman"/>
          <w:i/>
          <w:color w:val="000000" w:themeColor="text1"/>
          <w:sz w:val="24"/>
          <w:szCs w:val="24"/>
        </w:rPr>
        <w:t>Force</w:t>
      </w:r>
      <w:proofErr w:type="spellEnd"/>
      <w:r w:rsidRPr="0090706F">
        <w:rPr>
          <w:rFonts w:ascii="Times New Roman" w:eastAsia="Calibri" w:hAnsi="Times New Roman" w:cs="Times New Roman"/>
          <w:color w:val="000000" w:themeColor="text1"/>
          <w:sz w:val="24"/>
          <w:szCs w:val="24"/>
        </w:rPr>
        <w:t xml:space="preserve"> (FATF – finanšu vadības darba grupas) ekspertu komisija, lai izvērtētu nelegāli iegūtu līdzekļu legalizācijas un terorisma finansēšanas (turpmāk – NILLTF) novēršanas sistēmas atbilstību starptautiskajiem standartiem. </w:t>
      </w:r>
      <w:r w:rsidR="007150F1">
        <w:rPr>
          <w:rFonts w:ascii="Times New Roman" w:eastAsia="Calibri" w:hAnsi="Times New Roman" w:cs="Times New Roman"/>
          <w:color w:val="000000" w:themeColor="text1"/>
          <w:sz w:val="24"/>
          <w:szCs w:val="24"/>
        </w:rPr>
        <w:t>S</w:t>
      </w:r>
      <w:r w:rsidR="007150F1" w:rsidRPr="0090706F">
        <w:rPr>
          <w:rFonts w:ascii="Times New Roman" w:eastAsia="Calibri" w:hAnsi="Times New Roman" w:cs="Times New Roman"/>
          <w:color w:val="000000" w:themeColor="text1"/>
          <w:sz w:val="24"/>
          <w:szCs w:val="24"/>
        </w:rPr>
        <w:t xml:space="preserve">askaņā ar FATF metodoloģiju </w:t>
      </w:r>
      <w:proofErr w:type="spellStart"/>
      <w:r w:rsidRPr="007150F1">
        <w:rPr>
          <w:rFonts w:ascii="Times New Roman" w:eastAsia="Calibri" w:hAnsi="Times New Roman" w:cs="Times New Roman"/>
          <w:i/>
          <w:color w:val="000000" w:themeColor="text1"/>
          <w:sz w:val="24"/>
          <w:szCs w:val="24"/>
        </w:rPr>
        <w:t>Moneyval</w:t>
      </w:r>
      <w:proofErr w:type="spellEnd"/>
      <w:r w:rsidRPr="0090706F">
        <w:rPr>
          <w:rFonts w:ascii="Times New Roman" w:eastAsia="Calibri" w:hAnsi="Times New Roman" w:cs="Times New Roman"/>
          <w:color w:val="000000" w:themeColor="text1"/>
          <w:sz w:val="24"/>
          <w:szCs w:val="24"/>
        </w:rPr>
        <w:t xml:space="preserve"> izvērtējuma galvenā būtība ir vērtēt valsts spēju efektīvi praksē pielietot tās rīcībā esošo nacionālo tiesisko regulējumu un faktiskos subjektu darbības efektivitātes rezultātus NILLTF novēršanas jomā. Minētās novērtēšanas laikā tikšanās notika arī ar Biroja amatpersonām</w:t>
      </w:r>
      <w:r w:rsidR="00507482" w:rsidRPr="0090706F">
        <w:rPr>
          <w:rFonts w:ascii="Times New Roman" w:eastAsia="Calibri" w:hAnsi="Times New Roman" w:cs="Times New Roman"/>
          <w:color w:val="000000" w:themeColor="text1"/>
          <w:sz w:val="24"/>
          <w:szCs w:val="24"/>
        </w:rPr>
        <w:t xml:space="preserve">, tajā skaitā </w:t>
      </w:r>
      <w:r w:rsidR="0090706F">
        <w:rPr>
          <w:rFonts w:ascii="Times New Roman" w:eastAsia="Calibri" w:hAnsi="Times New Roman" w:cs="Times New Roman"/>
          <w:color w:val="000000" w:themeColor="text1"/>
          <w:sz w:val="24"/>
          <w:szCs w:val="24"/>
        </w:rPr>
        <w:t xml:space="preserve">Biroja </w:t>
      </w:r>
      <w:r w:rsidR="00507482" w:rsidRPr="0090706F">
        <w:rPr>
          <w:rFonts w:ascii="Times New Roman" w:eastAsia="Calibri" w:hAnsi="Times New Roman" w:cs="Times New Roman"/>
          <w:color w:val="000000" w:themeColor="text1"/>
          <w:sz w:val="24"/>
          <w:szCs w:val="24"/>
        </w:rPr>
        <w:t>izmeklētājiem</w:t>
      </w:r>
      <w:r w:rsidRPr="0090706F">
        <w:rPr>
          <w:rFonts w:ascii="Times New Roman" w:eastAsia="Calibri" w:hAnsi="Times New Roman" w:cs="Times New Roman"/>
          <w:color w:val="000000" w:themeColor="text1"/>
          <w:sz w:val="24"/>
          <w:szCs w:val="24"/>
        </w:rPr>
        <w:t xml:space="preserve"> par Biroja kompetences jautājumiem attiecībā uz </w:t>
      </w:r>
      <w:proofErr w:type="spellStart"/>
      <w:r w:rsidRPr="0090706F">
        <w:rPr>
          <w:rFonts w:ascii="Times New Roman" w:eastAsia="Calibri" w:hAnsi="Times New Roman" w:cs="Times New Roman"/>
          <w:color w:val="000000" w:themeColor="text1"/>
          <w:sz w:val="24"/>
          <w:szCs w:val="24"/>
        </w:rPr>
        <w:t>koruptīvu</w:t>
      </w:r>
      <w:proofErr w:type="spellEnd"/>
      <w:r w:rsidRPr="0090706F">
        <w:rPr>
          <w:rFonts w:ascii="Times New Roman" w:eastAsia="Calibri" w:hAnsi="Times New Roman" w:cs="Times New Roman"/>
          <w:color w:val="000000" w:themeColor="text1"/>
          <w:sz w:val="24"/>
          <w:szCs w:val="24"/>
        </w:rPr>
        <w:t xml:space="preserve"> noziedzīgu nodarījumu izmeklēšanu un starptautisko sadarbību. </w:t>
      </w:r>
    </w:p>
    <w:p w:rsidR="006566E5" w:rsidRDefault="006566E5" w:rsidP="006C79D7">
      <w:pPr>
        <w:spacing w:after="0"/>
        <w:ind w:firstLine="709"/>
        <w:jc w:val="both"/>
        <w:rPr>
          <w:rFonts w:ascii="Times New Roman" w:eastAsia="Calibri" w:hAnsi="Times New Roman" w:cs="Times New Roman"/>
          <w:sz w:val="24"/>
          <w:szCs w:val="24"/>
        </w:rPr>
      </w:pPr>
      <w:r w:rsidRPr="006566E5">
        <w:rPr>
          <w:rFonts w:ascii="Times New Roman" w:eastAsia="Calibri" w:hAnsi="Times New Roman" w:cs="Times New Roman"/>
          <w:sz w:val="24"/>
          <w:szCs w:val="24"/>
        </w:rPr>
        <w:t xml:space="preserve">No 2017.gada 6.novembra līdz 7.novembrim </w:t>
      </w:r>
      <w:r w:rsidR="00A73FF9">
        <w:rPr>
          <w:rFonts w:ascii="Times New Roman" w:eastAsia="Calibri" w:hAnsi="Times New Roman" w:cs="Times New Roman"/>
          <w:sz w:val="24"/>
          <w:szCs w:val="24"/>
        </w:rPr>
        <w:t>Biroja</w:t>
      </w:r>
      <w:r w:rsidRPr="006566E5">
        <w:rPr>
          <w:rFonts w:ascii="Times New Roman" w:eastAsia="Calibri" w:hAnsi="Times New Roman" w:cs="Times New Roman"/>
          <w:sz w:val="24"/>
          <w:szCs w:val="24"/>
        </w:rPr>
        <w:t xml:space="preserve"> pārstāvis piedalījās ANO Pretkorupcijas konvencijas (turpmāk – UNCAC) dalībvalstu konferencē (turpmāk – </w:t>
      </w:r>
      <w:hyperlink r:id="rId12" w:history="1">
        <w:r w:rsidRPr="006566E5">
          <w:rPr>
            <w:rFonts w:ascii="Times New Roman" w:eastAsia="Calibri" w:hAnsi="Times New Roman" w:cs="Times New Roman"/>
            <w:sz w:val="24"/>
            <w:szCs w:val="24"/>
          </w:rPr>
          <w:t>COSP</w:t>
        </w:r>
      </w:hyperlink>
      <w:r w:rsidRPr="006566E5">
        <w:rPr>
          <w:rFonts w:ascii="Times New Roman" w:eastAsia="Calibri" w:hAnsi="Times New Roman" w:cs="Times New Roman"/>
          <w:sz w:val="24"/>
          <w:szCs w:val="24"/>
        </w:rPr>
        <w:t>). COSP tiek rīkot</w:t>
      </w:r>
      <w:r w:rsidR="007150F1">
        <w:rPr>
          <w:rFonts w:ascii="Times New Roman" w:eastAsia="Calibri" w:hAnsi="Times New Roman" w:cs="Times New Roman"/>
          <w:sz w:val="24"/>
          <w:szCs w:val="24"/>
        </w:rPr>
        <w:t>a</w:t>
      </w:r>
      <w:r w:rsidRPr="006566E5">
        <w:rPr>
          <w:rFonts w:ascii="Times New Roman" w:eastAsia="Calibri" w:hAnsi="Times New Roman" w:cs="Times New Roman"/>
          <w:sz w:val="24"/>
          <w:szCs w:val="24"/>
        </w:rPr>
        <w:t xml:space="preserve"> reizi divos gados un ir UNCAC ieviešanas mehānisma augstākā institūcijā, kuras laikā ir jāpanāk vienošanās par darbību, procedūrām un darba metodēm, lai sasniegtu UNCAC mērķus, kā arī sekmētu un pārraudzītu tās ieviešanu. Šobrīd UNCAC </w:t>
      </w:r>
      <w:r w:rsidR="00AF410B">
        <w:rPr>
          <w:rFonts w:ascii="Times New Roman" w:eastAsia="Calibri" w:hAnsi="Times New Roman" w:cs="Times New Roman"/>
          <w:sz w:val="24"/>
          <w:szCs w:val="24"/>
        </w:rPr>
        <w:t xml:space="preserve">ir </w:t>
      </w:r>
      <w:r w:rsidRPr="006566E5">
        <w:rPr>
          <w:rFonts w:ascii="Times New Roman" w:eastAsia="Calibri" w:hAnsi="Times New Roman" w:cs="Times New Roman"/>
          <w:sz w:val="24"/>
          <w:szCs w:val="24"/>
        </w:rPr>
        <w:t xml:space="preserve">140 </w:t>
      </w:r>
      <w:r w:rsidRPr="006566E5">
        <w:rPr>
          <w:rFonts w:ascii="Times New Roman" w:eastAsia="Calibri" w:hAnsi="Times New Roman" w:cs="Times New Roman"/>
          <w:sz w:val="24"/>
          <w:szCs w:val="24"/>
        </w:rPr>
        <w:lastRenderedPageBreak/>
        <w:t xml:space="preserve">dalībvalstis un tas ir visaptverošākais starptautiskais pretkorupcijas mehānisms. Latvija un Sudāna ir noteiktas par novērtētājiem Azerbaidžānai, kuras novērtēšanas procesu plānots īstenot 2018.gada sākumā. </w:t>
      </w:r>
    </w:p>
    <w:p w:rsidR="00504F22" w:rsidRDefault="00504F22" w:rsidP="006C79D7">
      <w:pPr>
        <w:spacing w:after="0"/>
        <w:ind w:firstLine="709"/>
        <w:jc w:val="both"/>
        <w:rPr>
          <w:rFonts w:ascii="Times New Roman" w:eastAsia="Calibri" w:hAnsi="Times New Roman" w:cs="Times New Roman"/>
          <w:sz w:val="24"/>
          <w:szCs w:val="24"/>
        </w:rPr>
      </w:pPr>
      <w:r w:rsidRPr="00504F22">
        <w:rPr>
          <w:rFonts w:ascii="Times New Roman" w:eastAsia="Calibri" w:hAnsi="Times New Roman" w:cs="Times New Roman"/>
          <w:sz w:val="24"/>
          <w:szCs w:val="24"/>
        </w:rPr>
        <w:t>Pārskata periodā Biroja pārstāvji regulāri piedalījās Krāpšanas apkarošanas koordinācijas dienesta (turpmāk – AFCOS) rīkotajās sanāksmēs, kā arī AFCOS padomes sēdē, kur ir pārstāvētas gan Eiropas Savienības fondu administrējošās iestādes, gan tiesībsargājošās institūcijas.</w:t>
      </w:r>
    </w:p>
    <w:p w:rsidR="00504F22" w:rsidRPr="00262A22" w:rsidRDefault="00504F22" w:rsidP="006C79D7">
      <w:pPr>
        <w:spacing w:after="0"/>
        <w:ind w:firstLine="709"/>
        <w:jc w:val="both"/>
        <w:rPr>
          <w:rFonts w:ascii="Times New Roman" w:eastAsia="Calibri" w:hAnsi="Times New Roman" w:cs="Times New Roman"/>
          <w:sz w:val="24"/>
          <w:szCs w:val="24"/>
        </w:rPr>
      </w:pPr>
      <w:r w:rsidRPr="00504F22">
        <w:rPr>
          <w:rFonts w:ascii="Times New Roman" w:eastAsia="Calibri" w:hAnsi="Times New Roman" w:cs="Times New Roman"/>
          <w:sz w:val="24"/>
          <w:szCs w:val="24"/>
        </w:rPr>
        <w:t>Lai nodr</w:t>
      </w:r>
      <w:r>
        <w:rPr>
          <w:rFonts w:ascii="Times New Roman" w:eastAsia="Calibri" w:hAnsi="Times New Roman" w:cs="Times New Roman"/>
          <w:sz w:val="24"/>
          <w:szCs w:val="24"/>
        </w:rPr>
        <w:t>ošinātu Ministru kabineta 2017.gada 16.</w:t>
      </w:r>
      <w:r w:rsidRPr="00504F22">
        <w:rPr>
          <w:rFonts w:ascii="Times New Roman" w:eastAsia="Calibri" w:hAnsi="Times New Roman" w:cs="Times New Roman"/>
          <w:sz w:val="24"/>
          <w:szCs w:val="24"/>
        </w:rPr>
        <w:t>janvāra rīkojuma Nr. 26 “Par Eiropas Savienības finanšu interešu aizsardzības koordinācijas dienesta (AFCOS) darbības str</w:t>
      </w:r>
      <w:r>
        <w:rPr>
          <w:rFonts w:ascii="Times New Roman" w:eastAsia="Calibri" w:hAnsi="Times New Roman" w:cs="Times New Roman"/>
          <w:sz w:val="24"/>
          <w:szCs w:val="24"/>
        </w:rPr>
        <w:t>atēģiju un pasākumu plānu 2017.–</w:t>
      </w:r>
      <w:r w:rsidR="007150F1">
        <w:rPr>
          <w:rFonts w:ascii="Times New Roman" w:eastAsia="Calibri" w:hAnsi="Times New Roman" w:cs="Times New Roman"/>
          <w:sz w:val="24"/>
          <w:szCs w:val="24"/>
        </w:rPr>
        <w:t>2019.</w:t>
      </w:r>
      <w:r w:rsidRPr="00504F22">
        <w:rPr>
          <w:rFonts w:ascii="Times New Roman" w:eastAsia="Calibri" w:hAnsi="Times New Roman" w:cs="Times New Roman"/>
          <w:sz w:val="24"/>
          <w:szCs w:val="24"/>
        </w:rPr>
        <w:t xml:space="preserve">gadam” pasākuma plāna </w:t>
      </w:r>
      <w:r>
        <w:rPr>
          <w:rFonts w:ascii="Times New Roman" w:eastAsia="Calibri" w:hAnsi="Times New Roman" w:cs="Times New Roman"/>
          <w:sz w:val="24"/>
          <w:szCs w:val="24"/>
        </w:rPr>
        <w:t>2.1.</w:t>
      </w:r>
      <w:r w:rsidRPr="00504F22">
        <w:rPr>
          <w:rFonts w:ascii="Times New Roman" w:eastAsia="Calibri" w:hAnsi="Times New Roman" w:cs="Times New Roman"/>
          <w:sz w:val="24"/>
          <w:szCs w:val="24"/>
        </w:rPr>
        <w:t>punkta “Administratīvās sadarbības līguma ar Eiropas Biroju krāpšanas apkarošanai (turpmāk – OLAF) sagatavošana un noslēgšana” izpildi</w:t>
      </w:r>
      <w:r w:rsidRPr="00262A22">
        <w:rPr>
          <w:rFonts w:ascii="Times New Roman" w:eastAsia="Calibri" w:hAnsi="Times New Roman" w:cs="Times New Roman"/>
          <w:sz w:val="24"/>
          <w:szCs w:val="24"/>
        </w:rPr>
        <w:t>, Biroja pārstāvji piedalījās Eiropas Savienības finanšu interešu aizsardzības koordinācijas padomes darba grupā.</w:t>
      </w:r>
    </w:p>
    <w:p w:rsidR="00262A22" w:rsidRPr="00262A22" w:rsidRDefault="00262A22" w:rsidP="006C79D7">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Biroja amatpersonas kā lektori piedalījās</w:t>
      </w:r>
      <w:r w:rsidRPr="00262A22">
        <w:rPr>
          <w:rFonts w:ascii="Times New Roman" w:eastAsia="Calibri" w:hAnsi="Times New Roman" w:cs="Times New Roman"/>
          <w:sz w:val="24"/>
          <w:szCs w:val="24"/>
        </w:rPr>
        <w:t xml:space="preserve"> Finanšu ministrijas un AFCOS organizētajā seminārā </w:t>
      </w:r>
      <w:r w:rsidRPr="007150F1">
        <w:rPr>
          <w:rFonts w:ascii="Times New Roman" w:eastAsia="Calibri" w:hAnsi="Times New Roman" w:cs="Times New Roman"/>
          <w:i/>
          <w:sz w:val="24"/>
          <w:szCs w:val="24"/>
        </w:rPr>
        <w:t>“</w:t>
      </w:r>
      <w:proofErr w:type="spellStart"/>
      <w:r w:rsidRPr="007150F1">
        <w:rPr>
          <w:rFonts w:ascii="Times New Roman" w:eastAsia="Calibri" w:hAnsi="Times New Roman" w:cs="Times New Roman"/>
          <w:i/>
          <w:sz w:val="24"/>
          <w:szCs w:val="24"/>
        </w:rPr>
        <w:t>Tools</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for</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Combating</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Fraud</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and</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Implementation</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of</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the</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National</w:t>
      </w:r>
      <w:proofErr w:type="spellEnd"/>
      <w:r w:rsidRPr="007150F1">
        <w:rPr>
          <w:rFonts w:ascii="Times New Roman" w:eastAsia="Calibri" w:hAnsi="Times New Roman" w:cs="Times New Roman"/>
          <w:i/>
          <w:sz w:val="24"/>
          <w:szCs w:val="24"/>
        </w:rPr>
        <w:t xml:space="preserve"> Anti-</w:t>
      </w:r>
      <w:proofErr w:type="spellStart"/>
      <w:r w:rsidRPr="007150F1">
        <w:rPr>
          <w:rFonts w:ascii="Times New Roman" w:eastAsia="Calibri" w:hAnsi="Times New Roman" w:cs="Times New Roman"/>
          <w:i/>
          <w:sz w:val="24"/>
          <w:szCs w:val="24"/>
        </w:rPr>
        <w:t>Fraud</w:t>
      </w:r>
      <w:proofErr w:type="spellEnd"/>
      <w:r w:rsidRPr="007150F1">
        <w:rPr>
          <w:rFonts w:ascii="Times New Roman" w:eastAsia="Calibri" w:hAnsi="Times New Roman" w:cs="Times New Roman"/>
          <w:i/>
          <w:sz w:val="24"/>
          <w:szCs w:val="24"/>
        </w:rPr>
        <w:t xml:space="preserve"> </w:t>
      </w:r>
      <w:proofErr w:type="spellStart"/>
      <w:r w:rsidRPr="007150F1">
        <w:rPr>
          <w:rFonts w:ascii="Times New Roman" w:eastAsia="Calibri" w:hAnsi="Times New Roman" w:cs="Times New Roman"/>
          <w:i/>
          <w:sz w:val="24"/>
          <w:szCs w:val="24"/>
        </w:rPr>
        <w:t>Strategy</w:t>
      </w:r>
      <w:proofErr w:type="spellEnd"/>
      <w:r w:rsidRPr="007150F1">
        <w:rPr>
          <w:rFonts w:ascii="Times New Roman" w:eastAsia="Calibri" w:hAnsi="Times New Roman" w:cs="Times New Roman"/>
          <w:i/>
          <w:sz w:val="24"/>
          <w:szCs w:val="24"/>
        </w:rPr>
        <w:t>”.</w:t>
      </w:r>
    </w:p>
    <w:p w:rsidR="006566E5" w:rsidRPr="006566E5" w:rsidRDefault="006566E5" w:rsidP="006C79D7">
      <w:pPr>
        <w:autoSpaceDE w:val="0"/>
        <w:autoSpaceDN w:val="0"/>
        <w:adjustRightInd w:val="0"/>
        <w:spacing w:after="0"/>
        <w:ind w:firstLine="709"/>
        <w:jc w:val="both"/>
        <w:rPr>
          <w:rFonts w:ascii="Times New Roman" w:eastAsia="Calibri" w:hAnsi="Times New Roman" w:cs="Times New Roman"/>
          <w:color w:val="000000"/>
          <w:sz w:val="24"/>
          <w:szCs w:val="24"/>
        </w:rPr>
      </w:pPr>
      <w:r w:rsidRPr="00262A22">
        <w:rPr>
          <w:rFonts w:ascii="Times New Roman" w:eastAsia="Calibri" w:hAnsi="Times New Roman" w:cs="Times New Roman"/>
          <w:color w:val="000000"/>
          <w:sz w:val="24"/>
          <w:szCs w:val="24"/>
        </w:rPr>
        <w:t>Attiecībā uz divpusējo sadarbību pārskata periodā organizētas šādas</w:t>
      </w:r>
      <w:r w:rsidRPr="006566E5">
        <w:rPr>
          <w:rFonts w:ascii="Times New Roman" w:eastAsia="Calibri" w:hAnsi="Times New Roman" w:cs="Times New Roman"/>
          <w:color w:val="000000"/>
          <w:sz w:val="24"/>
          <w:szCs w:val="24"/>
        </w:rPr>
        <w:t xml:space="preserve"> vizītes:</w:t>
      </w:r>
    </w:p>
    <w:p w:rsidR="006566E5" w:rsidRPr="006566E5" w:rsidRDefault="006566E5" w:rsidP="006C79D7">
      <w:pPr>
        <w:widowControl w:val="0"/>
        <w:numPr>
          <w:ilvl w:val="0"/>
          <w:numId w:val="8"/>
        </w:numPr>
        <w:tabs>
          <w:tab w:val="left" w:pos="993"/>
        </w:tabs>
        <w:autoSpaceDE w:val="0"/>
        <w:autoSpaceDN w:val="0"/>
        <w:adjustRightInd w:val="0"/>
        <w:spacing w:after="0"/>
        <w:ind w:left="0" w:firstLine="709"/>
        <w:jc w:val="both"/>
        <w:rPr>
          <w:rFonts w:ascii="Times New Roman" w:eastAsia="Calibri" w:hAnsi="Times New Roman" w:cs="Times New Roman"/>
          <w:color w:val="000000"/>
          <w:sz w:val="24"/>
          <w:szCs w:val="24"/>
        </w:rPr>
      </w:pPr>
      <w:r w:rsidRPr="006566E5">
        <w:rPr>
          <w:rFonts w:ascii="Times New Roman" w:eastAsia="Calibri" w:hAnsi="Times New Roman" w:cs="Times New Roman"/>
          <w:color w:val="000000"/>
          <w:sz w:val="24"/>
          <w:szCs w:val="24"/>
        </w:rPr>
        <w:t xml:space="preserve">Lietuvas Speciālā izmeklēšanas dienesta </w:t>
      </w:r>
      <w:r w:rsidR="00A73FF9">
        <w:rPr>
          <w:rFonts w:ascii="Times New Roman" w:eastAsia="Calibri" w:hAnsi="Times New Roman" w:cs="Times New Roman"/>
          <w:color w:val="000000"/>
          <w:sz w:val="24"/>
          <w:szCs w:val="24"/>
        </w:rPr>
        <w:t xml:space="preserve">vadības </w:t>
      </w:r>
      <w:r w:rsidRPr="006566E5">
        <w:rPr>
          <w:rFonts w:ascii="Times New Roman" w:eastAsia="Calibri" w:hAnsi="Times New Roman" w:cs="Times New Roman"/>
          <w:color w:val="000000"/>
          <w:sz w:val="24"/>
          <w:szCs w:val="24"/>
        </w:rPr>
        <w:t>iepazīšanās vizīte 2017.gada 19.jūlijā, lai pārrunātu aktuālos sadarbības jautājumus;</w:t>
      </w:r>
    </w:p>
    <w:p w:rsidR="006566E5" w:rsidRPr="006566E5" w:rsidRDefault="006566E5" w:rsidP="006C79D7">
      <w:pPr>
        <w:widowControl w:val="0"/>
        <w:numPr>
          <w:ilvl w:val="0"/>
          <w:numId w:val="8"/>
        </w:numPr>
        <w:tabs>
          <w:tab w:val="left" w:pos="993"/>
        </w:tabs>
        <w:autoSpaceDE w:val="0"/>
        <w:autoSpaceDN w:val="0"/>
        <w:adjustRightInd w:val="0"/>
        <w:spacing w:after="0"/>
        <w:ind w:left="0" w:firstLine="709"/>
        <w:jc w:val="both"/>
        <w:rPr>
          <w:rFonts w:ascii="Times New Roman" w:eastAsia="Calibri" w:hAnsi="Times New Roman" w:cs="Times New Roman"/>
          <w:color w:val="000000"/>
          <w:sz w:val="24"/>
          <w:szCs w:val="24"/>
        </w:rPr>
      </w:pPr>
      <w:r w:rsidRPr="006566E5">
        <w:rPr>
          <w:rFonts w:ascii="Times New Roman" w:eastAsia="Calibri" w:hAnsi="Times New Roman" w:cs="Times New Roman"/>
          <w:color w:val="000000"/>
          <w:sz w:val="24"/>
          <w:szCs w:val="24"/>
        </w:rPr>
        <w:t xml:space="preserve">Ukrainas Nacionālās korupcijas </w:t>
      </w:r>
      <w:proofErr w:type="spellStart"/>
      <w:r w:rsidRPr="006566E5">
        <w:rPr>
          <w:rFonts w:ascii="Times New Roman" w:eastAsia="Calibri" w:hAnsi="Times New Roman" w:cs="Times New Roman"/>
          <w:color w:val="000000"/>
          <w:sz w:val="24"/>
          <w:szCs w:val="24"/>
        </w:rPr>
        <w:t>prevencijas</w:t>
      </w:r>
      <w:proofErr w:type="spellEnd"/>
      <w:r w:rsidRPr="006566E5">
        <w:rPr>
          <w:rFonts w:ascii="Times New Roman" w:eastAsia="Calibri" w:hAnsi="Times New Roman" w:cs="Times New Roman"/>
          <w:color w:val="000000"/>
          <w:sz w:val="24"/>
          <w:szCs w:val="24"/>
        </w:rPr>
        <w:t xml:space="preserve"> aģentūras pārstāvju vizīte Birojā 2017.gada 25.jūlijā, kuras laikā parakstīts Saprašanās un sadarbības memorands;</w:t>
      </w:r>
    </w:p>
    <w:p w:rsidR="006566E5" w:rsidRPr="006566E5" w:rsidRDefault="007150F1" w:rsidP="005D03C7">
      <w:pPr>
        <w:widowControl w:val="0"/>
        <w:numPr>
          <w:ilvl w:val="0"/>
          <w:numId w:val="8"/>
        </w:numPr>
        <w:tabs>
          <w:tab w:val="left" w:pos="993"/>
        </w:tabs>
        <w:autoSpaceDE w:val="0"/>
        <w:autoSpaceDN w:val="0"/>
        <w:adjustRightInd w:val="0"/>
        <w:spacing w:after="0"/>
        <w:ind w:left="0" w:firstLine="709"/>
        <w:jc w:val="both"/>
        <w:rPr>
          <w:rFonts w:ascii="Times New Roman" w:eastAsia="Calibri" w:hAnsi="Times New Roman" w:cs="Times New Roman"/>
          <w:color w:val="000000"/>
          <w:sz w:val="24"/>
          <w:szCs w:val="24"/>
        </w:rPr>
      </w:pPr>
      <w:r w:rsidRPr="007150F1">
        <w:rPr>
          <w:rFonts w:ascii="Times New Roman" w:eastAsia="Calibri" w:hAnsi="Times New Roman" w:cs="Times New Roman"/>
          <w:color w:val="000000"/>
          <w:sz w:val="24"/>
          <w:szCs w:val="24"/>
        </w:rPr>
        <w:t>Igaunijas Policijas un robežsardzes pārvaldes Korupcijas noziegumu biroja priekšniek</w:t>
      </w:r>
      <w:r w:rsidR="005D03C7">
        <w:rPr>
          <w:rFonts w:ascii="Times New Roman" w:eastAsia="Calibri" w:hAnsi="Times New Roman" w:cs="Times New Roman"/>
          <w:color w:val="000000"/>
          <w:sz w:val="24"/>
          <w:szCs w:val="24"/>
        </w:rPr>
        <w:t>a</w:t>
      </w:r>
      <w:r w:rsidRPr="007150F1">
        <w:rPr>
          <w:rFonts w:ascii="Times New Roman" w:eastAsia="Calibri" w:hAnsi="Times New Roman" w:cs="Times New Roman"/>
          <w:color w:val="000000"/>
          <w:sz w:val="24"/>
          <w:szCs w:val="24"/>
        </w:rPr>
        <w:t xml:space="preserve"> un Iekšējās drošības dienesta biroja priekšniek</w:t>
      </w:r>
      <w:r w:rsidR="005D03C7">
        <w:rPr>
          <w:rFonts w:ascii="Times New Roman" w:eastAsia="Calibri" w:hAnsi="Times New Roman" w:cs="Times New Roman"/>
          <w:color w:val="000000"/>
          <w:sz w:val="24"/>
          <w:szCs w:val="24"/>
        </w:rPr>
        <w:t>a</w:t>
      </w:r>
      <w:r w:rsidR="006566E5" w:rsidRPr="006566E5">
        <w:rPr>
          <w:rFonts w:ascii="Times New Roman" w:eastAsia="Calibri" w:hAnsi="Times New Roman" w:cs="Times New Roman"/>
          <w:color w:val="000000"/>
          <w:sz w:val="24"/>
          <w:szCs w:val="24"/>
        </w:rPr>
        <w:t xml:space="preserve"> iepazīšanās vizīte 2017.gada 21.augustā, lai pārrunātu aktuālos sadarbības jautājumus;</w:t>
      </w:r>
    </w:p>
    <w:p w:rsidR="006566E5" w:rsidRPr="006566E5" w:rsidRDefault="006566E5" w:rsidP="006C79D7">
      <w:pPr>
        <w:widowControl w:val="0"/>
        <w:numPr>
          <w:ilvl w:val="0"/>
          <w:numId w:val="8"/>
        </w:numPr>
        <w:tabs>
          <w:tab w:val="left" w:pos="993"/>
        </w:tabs>
        <w:autoSpaceDE w:val="0"/>
        <w:autoSpaceDN w:val="0"/>
        <w:adjustRightInd w:val="0"/>
        <w:spacing w:after="0"/>
        <w:ind w:left="0" w:firstLine="709"/>
        <w:jc w:val="both"/>
        <w:rPr>
          <w:rFonts w:ascii="Times New Roman" w:eastAsia="Calibri" w:hAnsi="Times New Roman" w:cs="Times New Roman"/>
          <w:color w:val="000000"/>
          <w:sz w:val="24"/>
          <w:szCs w:val="24"/>
        </w:rPr>
      </w:pPr>
      <w:r w:rsidRPr="006566E5">
        <w:rPr>
          <w:rFonts w:ascii="Times New Roman" w:eastAsia="Calibri" w:hAnsi="Times New Roman" w:cs="Times New Roman"/>
          <w:color w:val="000000"/>
          <w:sz w:val="24"/>
          <w:szCs w:val="24"/>
        </w:rPr>
        <w:t>ASV Tieslietu departamenta delegācijas vizīte 2017.gada 30.augustā, lai apspriestu pieredzes apmaiņas iespējas korupcijas apkarošanā;</w:t>
      </w:r>
    </w:p>
    <w:p w:rsidR="006566E5" w:rsidRPr="006566E5" w:rsidRDefault="006566E5" w:rsidP="006C79D7">
      <w:pPr>
        <w:widowControl w:val="0"/>
        <w:numPr>
          <w:ilvl w:val="0"/>
          <w:numId w:val="8"/>
        </w:numPr>
        <w:tabs>
          <w:tab w:val="left" w:pos="993"/>
        </w:tabs>
        <w:autoSpaceDE w:val="0"/>
        <w:autoSpaceDN w:val="0"/>
        <w:adjustRightInd w:val="0"/>
        <w:spacing w:after="0"/>
        <w:ind w:left="0" w:firstLine="709"/>
        <w:jc w:val="both"/>
        <w:rPr>
          <w:rFonts w:ascii="Times New Roman" w:eastAsia="Calibri" w:hAnsi="Times New Roman" w:cs="Times New Roman"/>
          <w:color w:val="000000"/>
          <w:sz w:val="24"/>
          <w:szCs w:val="24"/>
        </w:rPr>
      </w:pPr>
      <w:r w:rsidRPr="006566E5">
        <w:rPr>
          <w:rFonts w:ascii="Times New Roman" w:eastAsia="Calibri" w:hAnsi="Times New Roman" w:cs="Times New Roman"/>
          <w:color w:val="000000"/>
          <w:sz w:val="24"/>
          <w:szCs w:val="24"/>
        </w:rPr>
        <w:t>Ukrainas valsts iestāžu un nevalstiskā sektora pārstāvju vizīte 2017.gada 8.septembrī</w:t>
      </w:r>
      <w:r w:rsidR="00FF2CCA">
        <w:rPr>
          <w:rFonts w:ascii="Times New Roman" w:eastAsia="Calibri" w:hAnsi="Times New Roman" w:cs="Times New Roman"/>
          <w:color w:val="000000"/>
          <w:sz w:val="24"/>
          <w:szCs w:val="24"/>
        </w:rPr>
        <w:t>,</w:t>
      </w:r>
      <w:r w:rsidRPr="006566E5">
        <w:rPr>
          <w:rFonts w:ascii="Times New Roman" w:eastAsia="Calibri" w:hAnsi="Times New Roman" w:cs="Times New Roman"/>
          <w:color w:val="000000"/>
          <w:sz w:val="24"/>
          <w:szCs w:val="24"/>
        </w:rPr>
        <w:t xml:space="preserve"> lai iepazītos ar Biroja darbību un pamatfunkcijām. </w:t>
      </w:r>
    </w:p>
    <w:p w:rsidR="006566E5" w:rsidRPr="009060F2" w:rsidRDefault="006566E5" w:rsidP="009060F2">
      <w:pPr>
        <w:pStyle w:val="NormalWeb"/>
        <w:spacing w:before="0" w:beforeAutospacing="0" w:after="0" w:afterAutospacing="0" w:line="276" w:lineRule="auto"/>
        <w:ind w:firstLine="567"/>
        <w:jc w:val="both"/>
        <w:rPr>
          <w:sz w:val="28"/>
          <w:szCs w:val="28"/>
          <w:lang w:val="lv-LV"/>
        </w:rPr>
      </w:pPr>
    </w:p>
    <w:p w:rsidR="005C7C99" w:rsidRPr="009060F2" w:rsidRDefault="00524A19" w:rsidP="009060F2">
      <w:pPr>
        <w:pStyle w:val="Heading3"/>
        <w:spacing w:before="0" w:after="0" w:line="276" w:lineRule="auto"/>
        <w:jc w:val="center"/>
        <w:rPr>
          <w:rStyle w:val="Strong"/>
          <w:rFonts w:ascii="Times New Roman" w:hAnsi="Times New Roman"/>
          <w:b/>
          <w:bCs/>
          <w:sz w:val="28"/>
          <w:szCs w:val="28"/>
        </w:rPr>
      </w:pPr>
      <w:bookmarkStart w:id="40" w:name="_Toc282617331"/>
      <w:bookmarkStart w:id="41" w:name="_Toc474219919"/>
      <w:bookmarkStart w:id="42" w:name="_Toc474220923"/>
      <w:bookmarkStart w:id="43" w:name="_Toc474410930"/>
      <w:bookmarkStart w:id="44" w:name="_Toc505249168"/>
      <w:r w:rsidRPr="009060F2">
        <w:rPr>
          <w:rStyle w:val="Strong"/>
          <w:rFonts w:ascii="Times New Roman" w:hAnsi="Times New Roman"/>
          <w:b/>
          <w:sz w:val="28"/>
          <w:szCs w:val="28"/>
        </w:rPr>
        <w:t>2.3. </w:t>
      </w:r>
      <w:r w:rsidR="005C7C99" w:rsidRPr="009060F2">
        <w:rPr>
          <w:rStyle w:val="Strong"/>
          <w:rFonts w:ascii="Times New Roman" w:hAnsi="Times New Roman"/>
          <w:b/>
          <w:sz w:val="28"/>
          <w:szCs w:val="28"/>
        </w:rPr>
        <w:t>Valsts amatpersonu un sabiedrības izglītošana</w:t>
      </w:r>
      <w:bookmarkEnd w:id="40"/>
      <w:bookmarkEnd w:id="41"/>
      <w:bookmarkEnd w:id="42"/>
      <w:bookmarkEnd w:id="43"/>
      <w:bookmarkEnd w:id="44"/>
    </w:p>
    <w:p w:rsidR="005C7C99" w:rsidRDefault="005C7C99" w:rsidP="006C79D7">
      <w:pPr>
        <w:spacing w:after="0"/>
        <w:ind w:firstLine="567"/>
        <w:jc w:val="both"/>
        <w:rPr>
          <w:rFonts w:ascii="Times New Roman" w:hAnsi="Times New Roman" w:cs="Times New Roman"/>
          <w:sz w:val="24"/>
          <w:szCs w:val="24"/>
        </w:rPr>
      </w:pPr>
    </w:p>
    <w:p w:rsidR="005C7C99" w:rsidRDefault="00E37DC9" w:rsidP="006C79D7">
      <w:pPr>
        <w:spacing w:after="0"/>
        <w:ind w:firstLine="709"/>
        <w:jc w:val="both"/>
        <w:rPr>
          <w:rFonts w:ascii="Times New Roman" w:hAnsi="Times New Roman" w:cs="Times New Roman"/>
          <w:sz w:val="24"/>
          <w:szCs w:val="24"/>
        </w:rPr>
      </w:pPr>
      <w:r w:rsidRPr="00E37DC9">
        <w:rPr>
          <w:rFonts w:ascii="Times New Roman" w:hAnsi="Times New Roman" w:cs="Times New Roman"/>
          <w:sz w:val="24"/>
          <w:szCs w:val="24"/>
        </w:rPr>
        <w:t xml:space="preserve">Pārskata periodā par pretkorupcijas, interešu konflikta novēršanas, publiskās pārvaldes ētikas, iekšējās kontroles </w:t>
      </w:r>
      <w:r w:rsidR="005D03C7">
        <w:rPr>
          <w:rFonts w:ascii="Times New Roman" w:hAnsi="Times New Roman" w:cs="Times New Roman"/>
          <w:sz w:val="24"/>
          <w:szCs w:val="24"/>
        </w:rPr>
        <w:t>korupcijas risku novēršanas</w:t>
      </w:r>
      <w:r w:rsidRPr="00E37DC9">
        <w:rPr>
          <w:rFonts w:ascii="Times New Roman" w:hAnsi="Times New Roman" w:cs="Times New Roman"/>
          <w:sz w:val="24"/>
          <w:szCs w:val="24"/>
        </w:rPr>
        <w:t xml:space="preserve"> jautājumiem </w:t>
      </w:r>
      <w:r w:rsidR="00377FA5">
        <w:rPr>
          <w:rFonts w:ascii="Times New Roman" w:hAnsi="Times New Roman" w:cs="Times New Roman"/>
          <w:sz w:val="24"/>
          <w:szCs w:val="24"/>
        </w:rPr>
        <w:t>Biroja amatpersonas</w:t>
      </w:r>
      <w:r w:rsidRPr="00E37DC9">
        <w:rPr>
          <w:rFonts w:ascii="Times New Roman" w:hAnsi="Times New Roman" w:cs="Times New Roman"/>
          <w:sz w:val="24"/>
          <w:szCs w:val="24"/>
        </w:rPr>
        <w:t xml:space="preserve"> </w:t>
      </w:r>
      <w:r w:rsidR="00377FA5">
        <w:rPr>
          <w:rFonts w:ascii="Times New Roman" w:hAnsi="Times New Roman" w:cs="Times New Roman"/>
          <w:sz w:val="24"/>
          <w:szCs w:val="24"/>
        </w:rPr>
        <w:t>organizēja</w:t>
      </w:r>
      <w:r w:rsidR="005C7C99" w:rsidRPr="00C41916">
        <w:rPr>
          <w:rFonts w:ascii="Times New Roman" w:hAnsi="Times New Roman" w:cs="Times New Roman"/>
          <w:sz w:val="24"/>
          <w:szCs w:val="24"/>
        </w:rPr>
        <w:t xml:space="preserve"> </w:t>
      </w:r>
      <w:r w:rsidR="00377FA5">
        <w:rPr>
          <w:rFonts w:ascii="Times New Roman" w:hAnsi="Times New Roman" w:cs="Times New Roman"/>
          <w:sz w:val="24"/>
          <w:szCs w:val="24"/>
        </w:rPr>
        <w:t>un vadīja</w:t>
      </w:r>
      <w:r>
        <w:rPr>
          <w:rFonts w:ascii="Times New Roman" w:hAnsi="Times New Roman" w:cs="Times New Roman"/>
          <w:sz w:val="24"/>
          <w:szCs w:val="24"/>
        </w:rPr>
        <w:t xml:space="preserve"> 118</w:t>
      </w:r>
      <w:r w:rsidR="00377FA5">
        <w:rPr>
          <w:rFonts w:ascii="Times New Roman" w:hAnsi="Times New Roman" w:cs="Times New Roman"/>
          <w:sz w:val="24"/>
          <w:szCs w:val="24"/>
        </w:rPr>
        <w:t xml:space="preserve"> seminārus</w:t>
      </w:r>
      <w:r w:rsidR="005C7C99">
        <w:rPr>
          <w:rFonts w:ascii="Times New Roman" w:hAnsi="Times New Roman" w:cs="Times New Roman"/>
          <w:sz w:val="24"/>
          <w:szCs w:val="24"/>
        </w:rPr>
        <w:t xml:space="preserve"> ar kopējo dalībnieku </w:t>
      </w:r>
      <w:r w:rsidR="005C7C99" w:rsidRPr="00C41916">
        <w:rPr>
          <w:rFonts w:ascii="Times New Roman" w:hAnsi="Times New Roman" w:cs="Times New Roman"/>
          <w:sz w:val="24"/>
          <w:szCs w:val="24"/>
        </w:rPr>
        <w:t>skait</w:t>
      </w:r>
      <w:r w:rsidR="005C7C99">
        <w:rPr>
          <w:rFonts w:ascii="Times New Roman" w:hAnsi="Times New Roman" w:cs="Times New Roman"/>
          <w:sz w:val="24"/>
          <w:szCs w:val="24"/>
        </w:rPr>
        <w:t>u</w:t>
      </w:r>
      <w:r w:rsidR="00E86B8A">
        <w:rPr>
          <w:rFonts w:ascii="Times New Roman" w:hAnsi="Times New Roman" w:cs="Times New Roman"/>
          <w:sz w:val="24"/>
          <w:szCs w:val="24"/>
        </w:rPr>
        <w:t xml:space="preserve"> – </w:t>
      </w:r>
      <w:r>
        <w:rPr>
          <w:rFonts w:ascii="Times New Roman" w:hAnsi="Times New Roman" w:cs="Times New Roman"/>
          <w:sz w:val="24"/>
          <w:szCs w:val="24"/>
        </w:rPr>
        <w:t>5307</w:t>
      </w:r>
      <w:r w:rsidR="005D03C7">
        <w:rPr>
          <w:rFonts w:ascii="Times New Roman" w:hAnsi="Times New Roman" w:cs="Times New Roman"/>
          <w:sz w:val="24"/>
          <w:szCs w:val="24"/>
        </w:rPr>
        <w:t xml:space="preserve"> dalībnieki</w:t>
      </w:r>
      <w:r w:rsidR="005C7C99" w:rsidRPr="00C41916">
        <w:rPr>
          <w:rFonts w:ascii="Times New Roman" w:hAnsi="Times New Roman" w:cs="Times New Roman"/>
          <w:sz w:val="24"/>
          <w:szCs w:val="24"/>
        </w:rPr>
        <w:t>.</w:t>
      </w:r>
      <w:r w:rsidR="005C7C99">
        <w:rPr>
          <w:rFonts w:ascii="Times New Roman" w:hAnsi="Times New Roman" w:cs="Times New Roman"/>
          <w:sz w:val="24"/>
          <w:szCs w:val="24"/>
        </w:rPr>
        <w:t xml:space="preserve"> </w:t>
      </w:r>
    </w:p>
    <w:p w:rsidR="005C7C99" w:rsidRPr="00C41916" w:rsidRDefault="005C7C99" w:rsidP="006C79D7">
      <w:pPr>
        <w:pStyle w:val="NoSpacing"/>
        <w:spacing w:line="276" w:lineRule="auto"/>
        <w:ind w:firstLine="709"/>
        <w:jc w:val="both"/>
        <w:rPr>
          <w:rFonts w:ascii="Times New Roman" w:hAnsi="Times New Roman" w:cs="Times New Roman"/>
          <w:sz w:val="24"/>
          <w:szCs w:val="24"/>
        </w:rPr>
      </w:pPr>
      <w:r w:rsidRPr="00C41916">
        <w:rPr>
          <w:rFonts w:ascii="Times New Roman" w:hAnsi="Times New Roman" w:cs="Times New Roman"/>
          <w:sz w:val="24"/>
          <w:szCs w:val="24"/>
        </w:rPr>
        <w:t>Vadīto pasākumu un dalībnieku skaits 201</w:t>
      </w:r>
      <w:r w:rsidR="008173D9">
        <w:rPr>
          <w:rFonts w:ascii="Times New Roman" w:hAnsi="Times New Roman" w:cs="Times New Roman"/>
          <w:sz w:val="24"/>
          <w:szCs w:val="24"/>
        </w:rPr>
        <w:t>7</w:t>
      </w:r>
      <w:r w:rsidRPr="00C41916">
        <w:rPr>
          <w:rFonts w:ascii="Times New Roman" w:hAnsi="Times New Roman" w:cs="Times New Roman"/>
          <w:sz w:val="24"/>
          <w:szCs w:val="24"/>
        </w:rPr>
        <w:t>.gadā atbilstoši izglītošanas tēmām:</w:t>
      </w:r>
    </w:p>
    <w:p w:rsidR="005C7C99" w:rsidRPr="00C41916" w:rsidRDefault="008173D9" w:rsidP="006C79D7">
      <w:pPr>
        <w:pStyle w:val="NoSpacing"/>
        <w:numPr>
          <w:ilvl w:val="0"/>
          <w:numId w:val="14"/>
        </w:numPr>
        <w:tabs>
          <w:tab w:val="left" w:pos="993"/>
        </w:tabs>
        <w:spacing w:line="276" w:lineRule="auto"/>
        <w:ind w:left="0" w:firstLine="709"/>
        <w:jc w:val="both"/>
        <w:rPr>
          <w:rFonts w:ascii="Times New Roman" w:hAnsi="Times New Roman" w:cs="Times New Roman"/>
          <w:sz w:val="24"/>
          <w:szCs w:val="24"/>
        </w:rPr>
      </w:pPr>
      <w:r w:rsidRPr="008173D9">
        <w:rPr>
          <w:rFonts w:ascii="Times New Roman" w:hAnsi="Times New Roman" w:cs="Times New Roman"/>
          <w:sz w:val="24"/>
          <w:szCs w:val="24"/>
        </w:rPr>
        <w:t>Korupcija, tās cēloņi un sekas, izpausmes formas, interešu konflikta novēršana un valsts amatpersonu profesionālā ētika</w:t>
      </w:r>
      <w:r>
        <w:rPr>
          <w:rFonts w:ascii="Times New Roman" w:hAnsi="Times New Roman" w:cs="Times New Roman"/>
          <w:sz w:val="24"/>
          <w:szCs w:val="24"/>
        </w:rPr>
        <w:t xml:space="preserve"> – 74 pasākumi un </w:t>
      </w:r>
      <w:r w:rsidR="007F3015">
        <w:rPr>
          <w:rFonts w:ascii="Times New Roman" w:hAnsi="Times New Roman" w:cs="Times New Roman"/>
          <w:sz w:val="24"/>
          <w:szCs w:val="24"/>
        </w:rPr>
        <w:t xml:space="preserve">izglītota </w:t>
      </w:r>
      <w:r>
        <w:rPr>
          <w:rFonts w:ascii="Times New Roman" w:hAnsi="Times New Roman" w:cs="Times New Roman"/>
          <w:sz w:val="24"/>
          <w:szCs w:val="24"/>
        </w:rPr>
        <w:t>4021 persona</w:t>
      </w:r>
      <w:r w:rsidR="005C7C99" w:rsidRPr="00C41916">
        <w:rPr>
          <w:rFonts w:ascii="Times New Roman" w:hAnsi="Times New Roman" w:cs="Times New Roman"/>
          <w:sz w:val="24"/>
          <w:szCs w:val="24"/>
        </w:rPr>
        <w:t>;</w:t>
      </w:r>
    </w:p>
    <w:p w:rsidR="005C7C99" w:rsidRDefault="008173D9" w:rsidP="006C79D7">
      <w:pPr>
        <w:pStyle w:val="NoSpacing"/>
        <w:numPr>
          <w:ilvl w:val="0"/>
          <w:numId w:val="14"/>
        </w:numPr>
        <w:tabs>
          <w:tab w:val="left" w:pos="993"/>
        </w:tabs>
        <w:spacing w:line="276" w:lineRule="auto"/>
        <w:ind w:left="0" w:firstLine="709"/>
        <w:jc w:val="both"/>
        <w:rPr>
          <w:rFonts w:ascii="Times New Roman" w:hAnsi="Times New Roman" w:cs="Times New Roman"/>
          <w:sz w:val="24"/>
          <w:szCs w:val="24"/>
        </w:rPr>
      </w:pPr>
      <w:r w:rsidRPr="008173D9">
        <w:rPr>
          <w:rFonts w:ascii="Times New Roman" w:hAnsi="Times New Roman" w:cs="Times New Roman"/>
          <w:sz w:val="24"/>
          <w:szCs w:val="24"/>
        </w:rPr>
        <w:t xml:space="preserve">Iestāžu iekšējās kontroles pasākumi korupcijas risku novēršanai – </w:t>
      </w:r>
      <w:r w:rsidR="007F3015">
        <w:rPr>
          <w:rFonts w:ascii="Times New Roman" w:hAnsi="Times New Roman" w:cs="Times New Roman"/>
          <w:sz w:val="24"/>
          <w:szCs w:val="24"/>
        </w:rPr>
        <w:t>7</w:t>
      </w:r>
      <w:r w:rsidRPr="008173D9">
        <w:rPr>
          <w:rFonts w:ascii="Times New Roman" w:hAnsi="Times New Roman" w:cs="Times New Roman"/>
          <w:sz w:val="24"/>
          <w:szCs w:val="24"/>
        </w:rPr>
        <w:t xml:space="preserve"> izglītošanas pasākumi un izglītotas </w:t>
      </w:r>
      <w:r w:rsidR="007F3015">
        <w:rPr>
          <w:rFonts w:ascii="Times New Roman" w:hAnsi="Times New Roman" w:cs="Times New Roman"/>
          <w:sz w:val="24"/>
          <w:szCs w:val="24"/>
        </w:rPr>
        <w:t>345</w:t>
      </w:r>
      <w:r w:rsidRPr="008173D9">
        <w:rPr>
          <w:rFonts w:ascii="Times New Roman" w:hAnsi="Times New Roman" w:cs="Times New Roman"/>
          <w:sz w:val="24"/>
          <w:szCs w:val="24"/>
        </w:rPr>
        <w:t xml:space="preserve"> personas</w:t>
      </w:r>
      <w:r w:rsidR="007F3015">
        <w:rPr>
          <w:rFonts w:ascii="Times New Roman" w:hAnsi="Times New Roman" w:cs="Times New Roman"/>
          <w:sz w:val="24"/>
          <w:szCs w:val="24"/>
        </w:rPr>
        <w:t>;</w:t>
      </w:r>
    </w:p>
    <w:p w:rsidR="007F3015" w:rsidRDefault="007F3015" w:rsidP="006C79D7">
      <w:pPr>
        <w:pStyle w:val="NoSpacing"/>
        <w:numPr>
          <w:ilvl w:val="0"/>
          <w:numId w:val="14"/>
        </w:numPr>
        <w:tabs>
          <w:tab w:val="left" w:pos="993"/>
        </w:tabs>
        <w:spacing w:line="276" w:lineRule="auto"/>
        <w:ind w:left="0" w:firstLine="709"/>
        <w:jc w:val="both"/>
        <w:rPr>
          <w:rFonts w:ascii="Times New Roman" w:hAnsi="Times New Roman" w:cs="Times New Roman"/>
          <w:sz w:val="24"/>
          <w:szCs w:val="24"/>
        </w:rPr>
      </w:pPr>
      <w:proofErr w:type="spellStart"/>
      <w:r w:rsidRPr="007F3015">
        <w:rPr>
          <w:rFonts w:ascii="Times New Roman" w:hAnsi="Times New Roman" w:cs="Times New Roman"/>
          <w:sz w:val="24"/>
          <w:szCs w:val="24"/>
        </w:rPr>
        <w:t>Tālākizglītotāju</w:t>
      </w:r>
      <w:proofErr w:type="spellEnd"/>
      <w:r w:rsidRPr="007F3015">
        <w:rPr>
          <w:rFonts w:ascii="Times New Roman" w:hAnsi="Times New Roman" w:cs="Times New Roman"/>
          <w:sz w:val="24"/>
          <w:szCs w:val="24"/>
        </w:rPr>
        <w:t xml:space="preserve"> par pretkorupcijas jautājumiem publiskās institūcijās sagatavošana</w:t>
      </w:r>
      <w:r>
        <w:rPr>
          <w:rFonts w:ascii="Times New Roman" w:hAnsi="Times New Roman" w:cs="Times New Roman"/>
          <w:sz w:val="24"/>
          <w:szCs w:val="24"/>
        </w:rPr>
        <w:t xml:space="preserve"> – </w:t>
      </w:r>
      <w:r w:rsidRPr="007F3015">
        <w:rPr>
          <w:rFonts w:ascii="Times New Roman" w:hAnsi="Times New Roman" w:cs="Times New Roman"/>
          <w:sz w:val="24"/>
          <w:szCs w:val="24"/>
        </w:rPr>
        <w:t>3 pasākumi un izglītotas 16 personas</w:t>
      </w:r>
      <w:r>
        <w:rPr>
          <w:rFonts w:ascii="Times New Roman" w:hAnsi="Times New Roman" w:cs="Times New Roman"/>
          <w:sz w:val="24"/>
          <w:szCs w:val="24"/>
        </w:rPr>
        <w:t>;</w:t>
      </w:r>
    </w:p>
    <w:p w:rsidR="005C7C99" w:rsidRDefault="005C7C99" w:rsidP="006C79D7">
      <w:pPr>
        <w:pStyle w:val="NoSpacing"/>
        <w:numPr>
          <w:ilvl w:val="0"/>
          <w:numId w:val="14"/>
        </w:numPr>
        <w:tabs>
          <w:tab w:val="left" w:pos="993"/>
        </w:tabs>
        <w:spacing w:line="276" w:lineRule="auto"/>
        <w:ind w:left="0" w:firstLine="709"/>
        <w:jc w:val="both"/>
        <w:rPr>
          <w:rFonts w:ascii="Times New Roman" w:hAnsi="Times New Roman" w:cs="Times New Roman"/>
          <w:sz w:val="24"/>
          <w:szCs w:val="24"/>
        </w:rPr>
      </w:pPr>
      <w:r w:rsidRPr="00C41916">
        <w:rPr>
          <w:rFonts w:ascii="Times New Roman" w:hAnsi="Times New Roman" w:cs="Times New Roman"/>
          <w:sz w:val="24"/>
          <w:szCs w:val="24"/>
        </w:rPr>
        <w:t xml:space="preserve">Korupcijas riski publisko iepirkumu procedūrās – </w:t>
      </w:r>
      <w:r w:rsidR="00484481" w:rsidRPr="00484481">
        <w:rPr>
          <w:rFonts w:ascii="Times New Roman" w:hAnsi="Times New Roman" w:cs="Times New Roman"/>
          <w:sz w:val="24"/>
          <w:szCs w:val="24"/>
        </w:rPr>
        <w:t>22 pasākumi un izglītotas 227 personas;</w:t>
      </w:r>
    </w:p>
    <w:p w:rsidR="00484481" w:rsidRDefault="00484481" w:rsidP="006C79D7">
      <w:pPr>
        <w:pStyle w:val="NoSpacing"/>
        <w:numPr>
          <w:ilvl w:val="0"/>
          <w:numId w:val="14"/>
        </w:numPr>
        <w:tabs>
          <w:tab w:val="left" w:pos="993"/>
        </w:tabs>
        <w:spacing w:line="276" w:lineRule="auto"/>
        <w:ind w:left="0" w:firstLine="709"/>
        <w:jc w:val="both"/>
        <w:rPr>
          <w:rFonts w:ascii="Times New Roman" w:hAnsi="Times New Roman" w:cs="Times New Roman"/>
          <w:sz w:val="24"/>
          <w:szCs w:val="24"/>
        </w:rPr>
      </w:pPr>
      <w:r w:rsidRPr="00484481">
        <w:rPr>
          <w:rFonts w:ascii="Times New Roman" w:hAnsi="Times New Roman" w:cs="Times New Roman"/>
          <w:sz w:val="24"/>
          <w:szCs w:val="24"/>
        </w:rPr>
        <w:lastRenderedPageBreak/>
        <w:t>Korupcijas riski un to novēršana veselības aprūpes jomā (RSU 1.kursa ārvalstu medicīnas studentiem</w:t>
      </w:r>
      <w:r>
        <w:rPr>
          <w:rFonts w:ascii="Times New Roman" w:hAnsi="Times New Roman" w:cs="Times New Roman"/>
          <w:sz w:val="24"/>
          <w:szCs w:val="24"/>
        </w:rPr>
        <w:t xml:space="preserve">, </w:t>
      </w:r>
      <w:r w:rsidRPr="00484481">
        <w:rPr>
          <w:rFonts w:ascii="Times New Roman" w:hAnsi="Times New Roman" w:cs="Times New Roman"/>
          <w:sz w:val="24"/>
          <w:szCs w:val="24"/>
        </w:rPr>
        <w:t>Rīgas 2.slimnīcā</w:t>
      </w:r>
      <w:r>
        <w:rPr>
          <w:rFonts w:ascii="Times New Roman" w:hAnsi="Times New Roman" w:cs="Times New Roman"/>
          <w:sz w:val="24"/>
          <w:szCs w:val="24"/>
        </w:rPr>
        <w:t xml:space="preserve"> un Valsts sporta medicīnas centrā</w:t>
      </w:r>
      <w:r w:rsidRPr="00484481">
        <w:rPr>
          <w:rFonts w:ascii="Times New Roman" w:hAnsi="Times New Roman" w:cs="Times New Roman"/>
          <w:sz w:val="24"/>
          <w:szCs w:val="24"/>
        </w:rPr>
        <w:t>)</w:t>
      </w:r>
      <w:r>
        <w:rPr>
          <w:rFonts w:ascii="Times New Roman" w:hAnsi="Times New Roman" w:cs="Times New Roman"/>
          <w:sz w:val="24"/>
          <w:szCs w:val="24"/>
        </w:rPr>
        <w:t xml:space="preserve"> – 18 izglītošanas pasākumi un izglītota 451 persona;</w:t>
      </w:r>
    </w:p>
    <w:p w:rsidR="00484481" w:rsidRDefault="00484481" w:rsidP="006C79D7">
      <w:pPr>
        <w:pStyle w:val="NoSpacing"/>
        <w:numPr>
          <w:ilvl w:val="0"/>
          <w:numId w:val="14"/>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Semināri par godprātīgu uzņēmējdarbību – 15 pasākumi un izglītoti 402 privātā sektora pārstāvji.</w:t>
      </w:r>
    </w:p>
    <w:p w:rsidR="00484481" w:rsidRPr="00C41916" w:rsidRDefault="00484481" w:rsidP="006C79D7">
      <w:pPr>
        <w:pStyle w:val="NoSpacing"/>
        <w:spacing w:line="276" w:lineRule="auto"/>
        <w:ind w:firstLine="709"/>
        <w:jc w:val="both"/>
        <w:rPr>
          <w:rFonts w:ascii="Times New Roman" w:hAnsi="Times New Roman" w:cs="Times New Roman"/>
          <w:sz w:val="24"/>
          <w:szCs w:val="24"/>
        </w:rPr>
      </w:pPr>
      <w:r w:rsidRPr="00484481">
        <w:rPr>
          <w:rFonts w:ascii="Times New Roman" w:hAnsi="Times New Roman" w:cs="Times New Roman"/>
          <w:sz w:val="24"/>
          <w:szCs w:val="24"/>
        </w:rPr>
        <w:t xml:space="preserve">Minētajos semināros piedalījās publiskas personas institūcijās un kapitālsabiedrībās nodarbinātie, tai skaitā valsts amatpersonas un darbinieki, maksātnespējas administratori, pašvaldību domju deputāti un privātā sektora pārstāvji. </w:t>
      </w:r>
      <w:r w:rsidR="005D03C7">
        <w:rPr>
          <w:rFonts w:ascii="Times New Roman" w:hAnsi="Times New Roman" w:cs="Times New Roman"/>
          <w:sz w:val="24"/>
          <w:szCs w:val="24"/>
        </w:rPr>
        <w:t>Jāuzsver, ka i</w:t>
      </w:r>
      <w:r w:rsidRPr="00484481">
        <w:rPr>
          <w:rFonts w:ascii="Times New Roman" w:hAnsi="Times New Roman" w:cs="Times New Roman"/>
          <w:sz w:val="24"/>
          <w:szCs w:val="24"/>
        </w:rPr>
        <w:t xml:space="preserve">zglītojošie pasākumi tika organizēti </w:t>
      </w:r>
      <w:r w:rsidR="00377FA5">
        <w:rPr>
          <w:rFonts w:ascii="Times New Roman" w:hAnsi="Times New Roman" w:cs="Times New Roman"/>
          <w:sz w:val="24"/>
          <w:szCs w:val="24"/>
        </w:rPr>
        <w:t xml:space="preserve">ne </w:t>
      </w:r>
      <w:r w:rsidRPr="00484481">
        <w:rPr>
          <w:rFonts w:ascii="Times New Roman" w:hAnsi="Times New Roman" w:cs="Times New Roman"/>
          <w:sz w:val="24"/>
          <w:szCs w:val="24"/>
        </w:rPr>
        <w:t>tikai publiskas personas institūcijās nodarbinātajiem, bet Rīgas Stradiņa universitātes Medicīnas fakultātes 1.kursa studentiem.</w:t>
      </w:r>
      <w:r w:rsidR="00E476B6">
        <w:rPr>
          <w:rFonts w:ascii="Times New Roman" w:hAnsi="Times New Roman" w:cs="Times New Roman"/>
          <w:sz w:val="24"/>
          <w:szCs w:val="24"/>
        </w:rPr>
        <w:t xml:space="preserve"> </w:t>
      </w:r>
    </w:p>
    <w:p w:rsidR="005C7C99" w:rsidRDefault="00E37DC9" w:rsidP="006C79D7">
      <w:pPr>
        <w:spacing w:after="0"/>
        <w:ind w:firstLine="709"/>
        <w:jc w:val="both"/>
        <w:rPr>
          <w:rFonts w:ascii="Times New Roman" w:hAnsi="Times New Roman" w:cs="Times New Roman"/>
          <w:sz w:val="24"/>
          <w:szCs w:val="24"/>
        </w:rPr>
      </w:pPr>
      <w:r>
        <w:rPr>
          <w:noProof/>
          <w:lang w:eastAsia="lv-LV"/>
        </w:rPr>
        <w:drawing>
          <wp:anchor distT="0" distB="0" distL="114300" distR="114300" simplePos="0" relativeHeight="251660288" behindDoc="0" locked="0" layoutInCell="1" allowOverlap="1" wp14:anchorId="36E2D27B" wp14:editId="36B18809">
            <wp:simplePos x="0" y="0"/>
            <wp:positionH relativeFrom="column">
              <wp:posOffset>177165</wp:posOffset>
            </wp:positionH>
            <wp:positionV relativeFrom="paragraph">
              <wp:posOffset>327660</wp:posOffset>
            </wp:positionV>
            <wp:extent cx="5381625" cy="2943225"/>
            <wp:effectExtent l="0" t="0" r="9525" b="9525"/>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5C7C99" w:rsidRPr="00A07489">
        <w:rPr>
          <w:rFonts w:ascii="Times New Roman" w:hAnsi="Times New Roman" w:cs="Times New Roman"/>
          <w:sz w:val="24"/>
          <w:szCs w:val="24"/>
        </w:rPr>
        <w:t xml:space="preserve">Biroja izglītošanas pasākumu un dalībnieku skaits atspoguļots </w:t>
      </w:r>
      <w:r w:rsidR="00775076">
        <w:rPr>
          <w:rFonts w:ascii="Times New Roman" w:hAnsi="Times New Roman" w:cs="Times New Roman"/>
          <w:sz w:val="24"/>
          <w:szCs w:val="24"/>
        </w:rPr>
        <w:t>3</w:t>
      </w:r>
      <w:r w:rsidR="005C7C99" w:rsidRPr="00A07489">
        <w:rPr>
          <w:rFonts w:ascii="Times New Roman" w:hAnsi="Times New Roman" w:cs="Times New Roman"/>
          <w:sz w:val="24"/>
          <w:szCs w:val="24"/>
        </w:rPr>
        <w:t>.attēlā.</w:t>
      </w:r>
      <w:r w:rsidR="005C7C99">
        <w:rPr>
          <w:rFonts w:ascii="Times New Roman" w:hAnsi="Times New Roman" w:cs="Times New Roman"/>
          <w:sz w:val="24"/>
          <w:szCs w:val="24"/>
        </w:rPr>
        <w:t xml:space="preserve"> </w:t>
      </w:r>
    </w:p>
    <w:p w:rsidR="005C7C99" w:rsidRPr="00C41916" w:rsidRDefault="00775076" w:rsidP="006C79D7">
      <w:pPr>
        <w:pStyle w:val="NoSpacing"/>
        <w:spacing w:line="276" w:lineRule="auto"/>
        <w:ind w:firstLine="567"/>
        <w:jc w:val="center"/>
        <w:rPr>
          <w:rFonts w:ascii="Times New Roman" w:hAnsi="Times New Roman" w:cs="Times New Roman"/>
          <w:i/>
        </w:rPr>
      </w:pPr>
      <w:r>
        <w:rPr>
          <w:rFonts w:ascii="Times New Roman" w:hAnsi="Times New Roman" w:cs="Times New Roman"/>
          <w:i/>
        </w:rPr>
        <w:t>3</w:t>
      </w:r>
      <w:r w:rsidR="005C7C99" w:rsidRPr="00C41916">
        <w:rPr>
          <w:rFonts w:ascii="Times New Roman" w:hAnsi="Times New Roman" w:cs="Times New Roman"/>
          <w:i/>
        </w:rPr>
        <w:t>.attēls. Izglītošanas pasākumi un dalībnieku skaits</w:t>
      </w:r>
    </w:p>
    <w:p w:rsidR="005C7C99" w:rsidRDefault="005C7C99" w:rsidP="006C79D7">
      <w:pPr>
        <w:pStyle w:val="NoSpacing"/>
        <w:spacing w:line="276" w:lineRule="auto"/>
        <w:ind w:firstLine="567"/>
        <w:jc w:val="both"/>
        <w:rPr>
          <w:rFonts w:ascii="Times New Roman" w:hAnsi="Times New Roman" w:cs="Times New Roman"/>
          <w:sz w:val="24"/>
          <w:szCs w:val="24"/>
        </w:rPr>
      </w:pPr>
    </w:p>
    <w:p w:rsidR="005C7C99" w:rsidRDefault="005511F0" w:rsidP="006C79D7">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2017.gadā </w:t>
      </w:r>
      <w:r w:rsidR="005D03C7">
        <w:rPr>
          <w:rFonts w:ascii="Times New Roman" w:hAnsi="Times New Roman" w:cs="Times New Roman"/>
          <w:sz w:val="24"/>
          <w:szCs w:val="24"/>
        </w:rPr>
        <w:t xml:space="preserve">tika organizēti semināri </w:t>
      </w:r>
      <w:r w:rsidRPr="005511F0">
        <w:rPr>
          <w:rFonts w:ascii="Times New Roman" w:hAnsi="Times New Roman" w:cs="Times New Roman"/>
          <w:sz w:val="24"/>
          <w:szCs w:val="24"/>
        </w:rPr>
        <w:t>pašvaldībās par interešu konflikta novēršanas jautājumiem, valsts amatpersonu profesionālo ētiku un iekšējās kontroles pasākumu lomu un nozīmi korupcijas novēršanā, izglītojot pašvaldību un to kapitālsabiedrību amatpersonas un darbiniekus Ventspils, Jēkabpils, Smiltenes, Aknīstes, Salas, Krustpils, Pļaviņu, Kokneses, Līvānu, Ilūkstes, Neretas</w:t>
      </w:r>
      <w:r>
        <w:rPr>
          <w:rFonts w:ascii="Times New Roman" w:hAnsi="Times New Roman" w:cs="Times New Roman"/>
          <w:sz w:val="24"/>
          <w:szCs w:val="24"/>
        </w:rPr>
        <w:t>,</w:t>
      </w:r>
      <w:r w:rsidRPr="005511F0">
        <w:t xml:space="preserve"> </w:t>
      </w:r>
      <w:r w:rsidRPr="005511F0">
        <w:rPr>
          <w:rFonts w:ascii="Times New Roman" w:hAnsi="Times New Roman" w:cs="Times New Roman"/>
          <w:sz w:val="24"/>
          <w:szCs w:val="24"/>
        </w:rPr>
        <w:t>Valmieras, Jūrmalas, Ikšķ</w:t>
      </w:r>
      <w:r>
        <w:rPr>
          <w:rFonts w:ascii="Times New Roman" w:hAnsi="Times New Roman" w:cs="Times New Roman"/>
          <w:sz w:val="24"/>
          <w:szCs w:val="24"/>
        </w:rPr>
        <w:t>iles, Talsu, Dobeles, Burtnieku,</w:t>
      </w:r>
      <w:r w:rsidRPr="005511F0">
        <w:rPr>
          <w:rFonts w:ascii="Times New Roman" w:hAnsi="Times New Roman" w:cs="Times New Roman"/>
          <w:sz w:val="24"/>
          <w:szCs w:val="24"/>
        </w:rPr>
        <w:t xml:space="preserve"> Ķekavas pašvaldībās.</w:t>
      </w:r>
      <w:r w:rsidR="005C7C99" w:rsidRPr="00C41916">
        <w:rPr>
          <w:rFonts w:ascii="Times New Roman" w:hAnsi="Times New Roman" w:cs="Times New Roman"/>
          <w:sz w:val="24"/>
          <w:szCs w:val="24"/>
        </w:rPr>
        <w:t xml:space="preserve"> Kopā pārskata periodā izglītotas </w:t>
      </w:r>
      <w:r>
        <w:rPr>
          <w:rFonts w:ascii="Times New Roman" w:hAnsi="Times New Roman" w:cs="Times New Roman"/>
          <w:sz w:val="24"/>
          <w:szCs w:val="24"/>
        </w:rPr>
        <w:t>883</w:t>
      </w:r>
      <w:r w:rsidR="005C7C99" w:rsidRPr="00C41916">
        <w:rPr>
          <w:rFonts w:ascii="Times New Roman" w:hAnsi="Times New Roman" w:cs="Times New Roman"/>
          <w:sz w:val="24"/>
          <w:szCs w:val="24"/>
        </w:rPr>
        <w:t xml:space="preserve"> pašvaldībās strādājošas valsts amatpersonas un darbinieki, no kuriem </w:t>
      </w:r>
      <w:r>
        <w:rPr>
          <w:rFonts w:ascii="Times New Roman" w:hAnsi="Times New Roman" w:cs="Times New Roman"/>
          <w:sz w:val="24"/>
          <w:szCs w:val="24"/>
        </w:rPr>
        <w:t>464</w:t>
      </w:r>
      <w:r w:rsidR="005C7C99" w:rsidRPr="00C41916">
        <w:rPr>
          <w:rFonts w:ascii="Times New Roman" w:hAnsi="Times New Roman" w:cs="Times New Roman"/>
          <w:sz w:val="24"/>
          <w:szCs w:val="24"/>
        </w:rPr>
        <w:t xml:space="preserve"> persona</w:t>
      </w:r>
      <w:r w:rsidR="005C7C99">
        <w:rPr>
          <w:rFonts w:ascii="Times New Roman" w:hAnsi="Times New Roman" w:cs="Times New Roman"/>
          <w:sz w:val="24"/>
          <w:szCs w:val="24"/>
        </w:rPr>
        <w:t>s</w:t>
      </w:r>
      <w:r w:rsidR="005C7C99" w:rsidRPr="00C41916">
        <w:rPr>
          <w:rFonts w:ascii="Times New Roman" w:hAnsi="Times New Roman" w:cs="Times New Roman"/>
          <w:sz w:val="24"/>
          <w:szCs w:val="24"/>
        </w:rPr>
        <w:t xml:space="preserve"> </w:t>
      </w:r>
      <w:r w:rsidR="005C7C99">
        <w:rPr>
          <w:rFonts w:ascii="Times New Roman" w:hAnsi="Times New Roman" w:cs="Times New Roman"/>
          <w:sz w:val="24"/>
          <w:szCs w:val="24"/>
        </w:rPr>
        <w:t>pirm</w:t>
      </w:r>
      <w:r w:rsidR="005C7C99" w:rsidRPr="00C41916">
        <w:rPr>
          <w:rFonts w:ascii="Times New Roman" w:hAnsi="Times New Roman" w:cs="Times New Roman"/>
          <w:sz w:val="24"/>
          <w:szCs w:val="24"/>
        </w:rPr>
        <w:t xml:space="preserve">ajā pusgadā un </w:t>
      </w:r>
      <w:r>
        <w:rPr>
          <w:rFonts w:ascii="Times New Roman" w:hAnsi="Times New Roman" w:cs="Times New Roman"/>
          <w:sz w:val="24"/>
          <w:szCs w:val="24"/>
        </w:rPr>
        <w:t>419</w:t>
      </w:r>
      <w:r w:rsidR="005C7C99" w:rsidRPr="00C41916">
        <w:rPr>
          <w:rFonts w:ascii="Times New Roman" w:hAnsi="Times New Roman" w:cs="Times New Roman"/>
          <w:sz w:val="24"/>
          <w:szCs w:val="24"/>
        </w:rPr>
        <w:t xml:space="preserve"> personas otrajā pusgadā.</w:t>
      </w:r>
    </w:p>
    <w:p w:rsidR="005511F0" w:rsidRDefault="006C7F03" w:rsidP="006C79D7">
      <w:pPr>
        <w:pStyle w:val="NoSpacing"/>
        <w:spacing w:line="276" w:lineRule="auto"/>
        <w:ind w:firstLine="709"/>
        <w:jc w:val="both"/>
        <w:rPr>
          <w:rFonts w:ascii="Times New Roman" w:hAnsi="Times New Roman" w:cs="Times New Roman"/>
          <w:sz w:val="24"/>
          <w:szCs w:val="24"/>
        </w:rPr>
      </w:pPr>
      <w:r w:rsidRPr="006C7F03">
        <w:rPr>
          <w:rFonts w:ascii="Times New Roman" w:hAnsi="Times New Roman" w:cs="Times New Roman"/>
          <w:sz w:val="24"/>
          <w:szCs w:val="24"/>
        </w:rPr>
        <w:t xml:space="preserve">Pārskata periodā </w:t>
      </w:r>
      <w:r>
        <w:rPr>
          <w:rFonts w:ascii="Times New Roman" w:hAnsi="Times New Roman" w:cs="Times New Roman"/>
          <w:sz w:val="24"/>
          <w:szCs w:val="24"/>
        </w:rPr>
        <w:t>sadarbībā</w:t>
      </w:r>
      <w:r w:rsidRPr="006C7F03">
        <w:rPr>
          <w:rFonts w:ascii="Times New Roman" w:hAnsi="Times New Roman" w:cs="Times New Roman"/>
          <w:sz w:val="24"/>
          <w:szCs w:val="24"/>
        </w:rPr>
        <w:t xml:space="preserve"> ar Konkurences padomi un Iepirkumu uzraudzības biroju, turpinot kopīgo semināru ciklu “Par godīgu uzņēmējdarbību”, notika </w:t>
      </w:r>
      <w:r>
        <w:rPr>
          <w:rFonts w:ascii="Times New Roman" w:hAnsi="Times New Roman" w:cs="Times New Roman"/>
          <w:sz w:val="24"/>
          <w:szCs w:val="24"/>
        </w:rPr>
        <w:t>4</w:t>
      </w:r>
      <w:r w:rsidRPr="006C7F03">
        <w:rPr>
          <w:rFonts w:ascii="Times New Roman" w:hAnsi="Times New Roman" w:cs="Times New Roman"/>
          <w:sz w:val="24"/>
          <w:szCs w:val="24"/>
        </w:rPr>
        <w:t xml:space="preserve"> semināri – Bauskā (5.aprīlī)</w:t>
      </w:r>
      <w:r>
        <w:rPr>
          <w:rFonts w:ascii="Times New Roman" w:hAnsi="Times New Roman" w:cs="Times New Roman"/>
          <w:sz w:val="24"/>
          <w:szCs w:val="24"/>
        </w:rPr>
        <w:t>,</w:t>
      </w:r>
      <w:r w:rsidRPr="006C7F03">
        <w:rPr>
          <w:rFonts w:ascii="Times New Roman" w:hAnsi="Times New Roman" w:cs="Times New Roman"/>
          <w:sz w:val="24"/>
          <w:szCs w:val="24"/>
        </w:rPr>
        <w:t xml:space="preserve"> Liepājā (23.maijā)</w:t>
      </w:r>
      <w:r>
        <w:rPr>
          <w:rFonts w:ascii="Times New Roman" w:hAnsi="Times New Roman" w:cs="Times New Roman"/>
          <w:sz w:val="24"/>
          <w:szCs w:val="24"/>
        </w:rPr>
        <w:t xml:space="preserve">, </w:t>
      </w:r>
      <w:r w:rsidRPr="006C7F03">
        <w:rPr>
          <w:rFonts w:ascii="Times New Roman" w:hAnsi="Times New Roman" w:cs="Times New Roman"/>
          <w:sz w:val="24"/>
          <w:szCs w:val="24"/>
        </w:rPr>
        <w:t xml:space="preserve">Daugavpilī (19.septembrī) un Jelgavā (3.novembrī). Pārskata periodā organizēti </w:t>
      </w:r>
      <w:r>
        <w:rPr>
          <w:rFonts w:ascii="Times New Roman" w:hAnsi="Times New Roman" w:cs="Times New Roman"/>
          <w:sz w:val="24"/>
          <w:szCs w:val="24"/>
        </w:rPr>
        <w:t>4</w:t>
      </w:r>
      <w:r w:rsidRPr="006C7F03">
        <w:rPr>
          <w:rFonts w:ascii="Times New Roman" w:hAnsi="Times New Roman" w:cs="Times New Roman"/>
          <w:sz w:val="24"/>
          <w:szCs w:val="24"/>
        </w:rPr>
        <w:t xml:space="preserve"> semināri par interešu konflikta novēršanu valsts amatpersonu darbībā un valsts amatpersonu profesionāl</w:t>
      </w:r>
      <w:r w:rsidR="005D03C7">
        <w:rPr>
          <w:rFonts w:ascii="Times New Roman" w:hAnsi="Times New Roman" w:cs="Times New Roman"/>
          <w:sz w:val="24"/>
          <w:szCs w:val="24"/>
        </w:rPr>
        <w:t>o</w:t>
      </w:r>
      <w:r w:rsidRPr="006C7F03">
        <w:rPr>
          <w:rFonts w:ascii="Times New Roman" w:hAnsi="Times New Roman" w:cs="Times New Roman"/>
          <w:sz w:val="24"/>
          <w:szCs w:val="24"/>
        </w:rPr>
        <w:t xml:space="preserve"> ētiku būvvalžu amatpersonām, kuros izglītotas 1</w:t>
      </w:r>
      <w:r>
        <w:rPr>
          <w:rFonts w:ascii="Times New Roman" w:hAnsi="Times New Roman" w:cs="Times New Roman"/>
          <w:sz w:val="24"/>
          <w:szCs w:val="24"/>
        </w:rPr>
        <w:t>33</w:t>
      </w:r>
      <w:r w:rsidRPr="006C7F03">
        <w:rPr>
          <w:rFonts w:ascii="Times New Roman" w:hAnsi="Times New Roman" w:cs="Times New Roman"/>
          <w:sz w:val="24"/>
          <w:szCs w:val="24"/>
        </w:rPr>
        <w:t xml:space="preserve"> būvvalžu amatpersonas.</w:t>
      </w:r>
    </w:p>
    <w:p w:rsidR="006C7F03" w:rsidRDefault="006C7F03" w:rsidP="006C79D7">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2017.gadā </w:t>
      </w:r>
      <w:r w:rsidR="005D03C7">
        <w:rPr>
          <w:rFonts w:ascii="Times New Roman" w:eastAsia="Calibri" w:hAnsi="Times New Roman" w:cs="Times New Roman"/>
          <w:sz w:val="24"/>
          <w:szCs w:val="24"/>
        </w:rPr>
        <w:t>Birojs turpināja sniegt</w:t>
      </w:r>
      <w:r w:rsidRPr="006C7F03">
        <w:rPr>
          <w:rFonts w:ascii="Times New Roman" w:eastAsia="Calibri" w:hAnsi="Times New Roman" w:cs="Times New Roman"/>
          <w:sz w:val="24"/>
          <w:szCs w:val="24"/>
        </w:rPr>
        <w:t xml:space="preserve"> metodisk</w:t>
      </w:r>
      <w:r w:rsidR="005D03C7">
        <w:rPr>
          <w:rFonts w:ascii="Times New Roman" w:eastAsia="Calibri" w:hAnsi="Times New Roman" w:cs="Times New Roman"/>
          <w:sz w:val="24"/>
          <w:szCs w:val="24"/>
        </w:rPr>
        <w:t>o</w:t>
      </w:r>
      <w:r w:rsidRPr="006C7F03">
        <w:rPr>
          <w:rFonts w:ascii="Times New Roman" w:eastAsia="Calibri" w:hAnsi="Times New Roman" w:cs="Times New Roman"/>
          <w:sz w:val="24"/>
          <w:szCs w:val="24"/>
        </w:rPr>
        <w:t xml:space="preserve"> </w:t>
      </w:r>
      <w:r w:rsidR="005D03C7">
        <w:rPr>
          <w:rFonts w:ascii="Times New Roman" w:eastAsia="Calibri" w:hAnsi="Times New Roman" w:cs="Times New Roman"/>
          <w:sz w:val="24"/>
          <w:szCs w:val="24"/>
        </w:rPr>
        <w:t>atbalstu</w:t>
      </w:r>
      <w:r w:rsidRPr="006C7F03">
        <w:rPr>
          <w:rFonts w:ascii="Times New Roman" w:eastAsia="Calibri" w:hAnsi="Times New Roman" w:cs="Times New Roman"/>
          <w:sz w:val="24"/>
          <w:szCs w:val="24"/>
        </w:rPr>
        <w:t xml:space="preserve"> </w:t>
      </w:r>
      <w:proofErr w:type="spellStart"/>
      <w:r w:rsidRPr="006C7F03">
        <w:rPr>
          <w:rFonts w:ascii="Times New Roman" w:eastAsia="Calibri" w:hAnsi="Times New Roman" w:cs="Times New Roman"/>
          <w:sz w:val="24"/>
          <w:szCs w:val="24"/>
        </w:rPr>
        <w:t>tālākizglītotāju</w:t>
      </w:r>
      <w:proofErr w:type="spellEnd"/>
      <w:r w:rsidRPr="006C7F03">
        <w:rPr>
          <w:rFonts w:ascii="Times New Roman" w:eastAsia="Calibri" w:hAnsi="Times New Roman" w:cs="Times New Roman"/>
          <w:sz w:val="24"/>
          <w:szCs w:val="24"/>
        </w:rPr>
        <w:t xml:space="preserve"> (</w:t>
      </w:r>
      <w:proofErr w:type="spellStart"/>
      <w:r w:rsidRPr="006C7F03">
        <w:rPr>
          <w:rFonts w:ascii="Times New Roman" w:eastAsia="Calibri" w:hAnsi="Times New Roman" w:cs="Times New Roman"/>
          <w:i/>
          <w:sz w:val="24"/>
          <w:szCs w:val="24"/>
        </w:rPr>
        <w:t>train-the-trainer</w:t>
      </w:r>
      <w:r w:rsidRPr="006C7F03">
        <w:rPr>
          <w:rFonts w:ascii="Times New Roman" w:eastAsia="Calibri" w:hAnsi="Times New Roman" w:cs="Times New Roman"/>
          <w:sz w:val="24"/>
          <w:szCs w:val="24"/>
        </w:rPr>
        <w:t>)</w:t>
      </w:r>
      <w:proofErr w:type="spellEnd"/>
      <w:r w:rsidRPr="006C7F03">
        <w:rPr>
          <w:rFonts w:ascii="Times New Roman" w:eastAsia="Calibri" w:hAnsi="Times New Roman" w:cs="Times New Roman"/>
          <w:sz w:val="24"/>
          <w:szCs w:val="24"/>
        </w:rPr>
        <w:t xml:space="preserve"> publiskas personas institūcijās sagatavošanas</w:t>
      </w:r>
      <w:r w:rsidRPr="006C7F03">
        <w:rPr>
          <w:rFonts w:ascii="Times New Roman" w:eastAsia="Calibri" w:hAnsi="Times New Roman" w:cs="Times New Roman"/>
          <w:b/>
          <w:sz w:val="24"/>
          <w:szCs w:val="24"/>
        </w:rPr>
        <w:t xml:space="preserve"> </w:t>
      </w:r>
      <w:r w:rsidRPr="006C7F03">
        <w:rPr>
          <w:rFonts w:ascii="Times New Roman" w:eastAsia="Calibri" w:hAnsi="Times New Roman" w:cs="Times New Roman"/>
          <w:sz w:val="24"/>
          <w:szCs w:val="24"/>
        </w:rPr>
        <w:t>programmas ietvaros</w:t>
      </w:r>
      <w:r w:rsidR="005D03C7">
        <w:rPr>
          <w:rFonts w:ascii="Times New Roman" w:eastAsia="Calibri" w:hAnsi="Times New Roman" w:cs="Times New Roman"/>
          <w:sz w:val="24"/>
          <w:szCs w:val="24"/>
        </w:rPr>
        <w:t xml:space="preserve"> iepriekšējos periodos sagatavotajiem </w:t>
      </w:r>
      <w:proofErr w:type="spellStart"/>
      <w:r w:rsidR="005D03C7">
        <w:rPr>
          <w:rFonts w:ascii="Times New Roman" w:eastAsia="Calibri" w:hAnsi="Times New Roman" w:cs="Times New Roman"/>
          <w:sz w:val="24"/>
          <w:szCs w:val="24"/>
        </w:rPr>
        <w:t>tālākizglītotājiem</w:t>
      </w:r>
      <w:proofErr w:type="spellEnd"/>
      <w:r w:rsidRPr="006C7F03">
        <w:rPr>
          <w:rFonts w:ascii="Times New Roman" w:eastAsia="Calibri" w:hAnsi="Times New Roman" w:cs="Times New Roman"/>
          <w:sz w:val="24"/>
          <w:szCs w:val="24"/>
        </w:rPr>
        <w:t>, pēc nepieciešamības sniedzot atbalstu prezentāciju sagatavošanā, apmācību materiālu izstrādē, kā arī konsultējot apmācību satura jautājumos.</w:t>
      </w:r>
    </w:p>
    <w:p w:rsidR="006C7F03" w:rsidRPr="006C7F03" w:rsidRDefault="006C7F03" w:rsidP="006C79D7">
      <w:pPr>
        <w:spacing w:after="0"/>
        <w:ind w:firstLine="709"/>
        <w:jc w:val="both"/>
        <w:rPr>
          <w:rFonts w:ascii="Times New Roman" w:eastAsia="Calibri" w:hAnsi="Times New Roman" w:cs="Times New Roman"/>
          <w:sz w:val="24"/>
          <w:szCs w:val="24"/>
        </w:rPr>
      </w:pPr>
      <w:r w:rsidRPr="006C7F03">
        <w:rPr>
          <w:rFonts w:ascii="Times New Roman" w:eastAsia="Calibri" w:hAnsi="Times New Roman" w:cs="Times New Roman"/>
          <w:sz w:val="24"/>
          <w:szCs w:val="24"/>
        </w:rPr>
        <w:lastRenderedPageBreak/>
        <w:t xml:space="preserve">Pārskata periodā turpināta 2014.gada nogalē uzsāktā valsts amatpersonu un publisko </w:t>
      </w:r>
      <w:r w:rsidR="005D03C7">
        <w:rPr>
          <w:rFonts w:ascii="Times New Roman" w:eastAsia="Calibri" w:hAnsi="Times New Roman" w:cs="Times New Roman"/>
          <w:sz w:val="24"/>
          <w:szCs w:val="24"/>
        </w:rPr>
        <w:t xml:space="preserve">personu </w:t>
      </w:r>
      <w:r w:rsidRPr="006C7F03">
        <w:rPr>
          <w:rFonts w:ascii="Times New Roman" w:eastAsia="Calibri" w:hAnsi="Times New Roman" w:cs="Times New Roman"/>
          <w:sz w:val="24"/>
          <w:szCs w:val="24"/>
        </w:rPr>
        <w:t>institūciju darbinieku zināšanu testēšanu par korupcijas un interešu konflikta novēršanas jautājumiem. Zināšanu testēšana uzsākta ne tikai ar mērķi noteikt amatpersonu zināšanu līmeni par pretkorupcijas jautājumiem un identificēt zināšanu vājās puses, bet arī mērīt un analizēt, kā gadu laikā mainās mērķauditorijas zināšanas, un noteikt prioritārās izglītojamo amatpersonu auditorijas. Analizējot testēšanas rezultātus, secināts, ka kopumā amatpersonu zināšanas par interešu konflikta un pretkorupcijas jautājumiem ir vērtējamas kā labas, jo vidēji amatpersonas atbildējušas pareizi uz 88% jautājumu. Mazāk par 60% pareizo atbilžu snieguši tikai 0,7% testēto amatpersonu. Jaunās amatpersonas (stāžs valsts amatpersonas amatā līdz vienam gadam), kā arī amatpersonas ar pieredzi vidēji atbildējušas pareizi uz 89% jautājumu (2017.gada pirmajā pusgadā – 88%). Savukārt publiskas personas institūciju vadītāji un viņu vietnieki pareizi atbildējuši vidēji uz 86% (2017.gada pirmajā pusgadā – 82%) jautājumu.</w:t>
      </w:r>
    </w:p>
    <w:p w:rsidR="005C7C99" w:rsidRDefault="005C7C99" w:rsidP="006C79D7">
      <w:pPr>
        <w:pStyle w:val="NoSpacing"/>
        <w:spacing w:line="276" w:lineRule="auto"/>
        <w:ind w:firstLine="709"/>
        <w:jc w:val="both"/>
        <w:rPr>
          <w:rFonts w:ascii="Times New Roman" w:hAnsi="Times New Roman"/>
          <w:color w:val="000000" w:themeColor="text1"/>
          <w:sz w:val="24"/>
          <w:szCs w:val="24"/>
        </w:rPr>
      </w:pPr>
      <w:r w:rsidRPr="002C7434">
        <w:rPr>
          <w:rFonts w:ascii="Times New Roman" w:hAnsi="Times New Roman"/>
          <w:color w:val="000000" w:themeColor="text1"/>
          <w:sz w:val="24"/>
          <w:szCs w:val="24"/>
        </w:rPr>
        <w:t>Birojs kā Valsts administrācijas skolas īstenotā Eiropas struktūrfondu projekta “Valsts pārvaldes cilvēkresursu profesionālā pilnveide korupcijas novēršanas un ēnu ekonomikas mazināšanas jomā” sadarbības partneris 201</w:t>
      </w:r>
      <w:r w:rsidR="00504785">
        <w:rPr>
          <w:rFonts w:ascii="Times New Roman" w:hAnsi="Times New Roman"/>
          <w:color w:val="000000" w:themeColor="text1"/>
          <w:sz w:val="24"/>
          <w:szCs w:val="24"/>
        </w:rPr>
        <w:t>7</w:t>
      </w:r>
      <w:r w:rsidRPr="002C7434">
        <w:rPr>
          <w:rFonts w:ascii="Times New Roman" w:hAnsi="Times New Roman"/>
          <w:color w:val="000000" w:themeColor="text1"/>
          <w:sz w:val="24"/>
          <w:szCs w:val="24"/>
        </w:rPr>
        <w:t>.gadā turpināja aktīvu darbu</w:t>
      </w:r>
      <w:r w:rsidR="00E86B8A">
        <w:rPr>
          <w:rFonts w:ascii="Times New Roman" w:hAnsi="Times New Roman"/>
          <w:color w:val="000000" w:themeColor="text1"/>
          <w:sz w:val="24"/>
          <w:szCs w:val="24"/>
        </w:rPr>
        <w:t xml:space="preserve"> </w:t>
      </w:r>
      <w:r w:rsidRPr="002C7434">
        <w:rPr>
          <w:rFonts w:ascii="Times New Roman" w:hAnsi="Times New Roman"/>
          <w:color w:val="000000" w:themeColor="text1"/>
          <w:sz w:val="24"/>
          <w:szCs w:val="24"/>
        </w:rPr>
        <w:t xml:space="preserve">pie projekta mācību satura izstrādes, sniedzot priekšlikumus par nepieciešamo apmācību saturu (tēmām, </w:t>
      </w:r>
      <w:proofErr w:type="spellStart"/>
      <w:r w:rsidRPr="002C7434">
        <w:rPr>
          <w:rFonts w:ascii="Times New Roman" w:hAnsi="Times New Roman"/>
          <w:color w:val="000000" w:themeColor="text1"/>
          <w:sz w:val="24"/>
          <w:szCs w:val="24"/>
        </w:rPr>
        <w:t>apakštēmām</w:t>
      </w:r>
      <w:proofErr w:type="spellEnd"/>
      <w:r w:rsidRPr="002C7434">
        <w:rPr>
          <w:rFonts w:ascii="Times New Roman" w:hAnsi="Times New Roman"/>
          <w:color w:val="000000" w:themeColor="text1"/>
          <w:sz w:val="24"/>
          <w:szCs w:val="24"/>
        </w:rPr>
        <w:t>)</w:t>
      </w:r>
      <w:r>
        <w:rPr>
          <w:rFonts w:ascii="Times New Roman" w:hAnsi="Times New Roman"/>
          <w:color w:val="000000" w:themeColor="text1"/>
          <w:sz w:val="24"/>
          <w:szCs w:val="24"/>
        </w:rPr>
        <w:t>.</w:t>
      </w:r>
    </w:p>
    <w:p w:rsidR="00775076" w:rsidRDefault="00775076" w:rsidP="006C79D7">
      <w:pPr>
        <w:pStyle w:val="NoSpacing"/>
        <w:spacing w:line="276" w:lineRule="auto"/>
        <w:ind w:firstLine="709"/>
        <w:jc w:val="both"/>
        <w:rPr>
          <w:rFonts w:ascii="Times New Roman" w:hAnsi="Times New Roman"/>
          <w:color w:val="000000" w:themeColor="text1"/>
          <w:sz w:val="24"/>
          <w:szCs w:val="24"/>
        </w:rPr>
      </w:pPr>
      <w:r w:rsidRPr="00775076">
        <w:rPr>
          <w:rFonts w:ascii="Times New Roman" w:hAnsi="Times New Roman"/>
          <w:color w:val="000000" w:themeColor="text1"/>
          <w:sz w:val="24"/>
          <w:szCs w:val="24"/>
        </w:rPr>
        <w:t xml:space="preserve">Informējot sabiedrību par korupcijas attīstības tendencēm un atklātajiem korupcijas gadījumiem, kā arī par veiktajiem pasākumiem korupcijas novēršanai un apkarošanai, pārskata periodā Biroja amatpersonas ir sagatavojušas un publicējušas </w:t>
      </w:r>
      <w:r>
        <w:rPr>
          <w:rFonts w:ascii="Times New Roman" w:hAnsi="Times New Roman"/>
          <w:color w:val="000000" w:themeColor="text1"/>
          <w:sz w:val="24"/>
          <w:szCs w:val="24"/>
        </w:rPr>
        <w:t>46</w:t>
      </w:r>
      <w:r w:rsidRPr="00775076">
        <w:rPr>
          <w:rFonts w:ascii="Times New Roman" w:hAnsi="Times New Roman"/>
          <w:color w:val="000000" w:themeColor="text1"/>
          <w:sz w:val="24"/>
          <w:szCs w:val="24"/>
        </w:rPr>
        <w:t xml:space="preserve"> paziņojumus plašsaziņas lī</w:t>
      </w:r>
      <w:r>
        <w:rPr>
          <w:rFonts w:ascii="Times New Roman" w:hAnsi="Times New Roman"/>
          <w:color w:val="000000" w:themeColor="text1"/>
          <w:sz w:val="24"/>
          <w:szCs w:val="24"/>
        </w:rPr>
        <w:t>dzekļiem</w:t>
      </w:r>
      <w:r w:rsidRPr="00775076">
        <w:rPr>
          <w:rFonts w:ascii="Times New Roman" w:hAnsi="Times New Roman"/>
          <w:color w:val="000000" w:themeColor="text1"/>
          <w:sz w:val="24"/>
          <w:szCs w:val="24"/>
        </w:rPr>
        <w:t>. Visbiežāk sabiedrība tikusi informēta par Biroja starptautiskajām aktivitātēm (dalība darba grupās, ārvalstu delegāciju vizītes u.c.).</w:t>
      </w:r>
    </w:p>
    <w:p w:rsidR="00775076" w:rsidRDefault="00775076" w:rsidP="006C79D7">
      <w:pPr>
        <w:pStyle w:val="NoSpacing"/>
        <w:spacing w:line="276" w:lineRule="auto"/>
        <w:ind w:firstLine="709"/>
        <w:jc w:val="both"/>
        <w:rPr>
          <w:rFonts w:ascii="Times New Roman" w:hAnsi="Times New Roman"/>
          <w:color w:val="000000" w:themeColor="text1"/>
          <w:sz w:val="24"/>
          <w:szCs w:val="24"/>
        </w:rPr>
      </w:pPr>
    </w:p>
    <w:p w:rsidR="005C7C99" w:rsidRPr="009060F2" w:rsidRDefault="005C7C99" w:rsidP="009060F2">
      <w:pPr>
        <w:pStyle w:val="Heading3"/>
        <w:spacing w:before="0" w:after="0" w:line="276" w:lineRule="auto"/>
        <w:jc w:val="center"/>
        <w:rPr>
          <w:rStyle w:val="Strong"/>
          <w:rFonts w:ascii="Times New Roman" w:hAnsi="Times New Roman"/>
          <w:b/>
          <w:bCs/>
          <w:sz w:val="28"/>
          <w:szCs w:val="28"/>
        </w:rPr>
      </w:pPr>
      <w:bookmarkStart w:id="45" w:name="_Toc474219920"/>
      <w:bookmarkStart w:id="46" w:name="_Toc474220924"/>
      <w:bookmarkStart w:id="47" w:name="_Toc474410931"/>
      <w:bookmarkStart w:id="48" w:name="_Toc505249169"/>
      <w:r w:rsidRPr="009060F2">
        <w:rPr>
          <w:rStyle w:val="Strong"/>
          <w:rFonts w:ascii="Times New Roman" w:hAnsi="Times New Roman"/>
          <w:b/>
          <w:sz w:val="28"/>
          <w:szCs w:val="28"/>
        </w:rPr>
        <w:t>2.4. Valsts amatpersonu darbības kontrole</w:t>
      </w:r>
      <w:bookmarkEnd w:id="45"/>
      <w:bookmarkEnd w:id="46"/>
      <w:bookmarkEnd w:id="47"/>
      <w:bookmarkEnd w:id="48"/>
    </w:p>
    <w:p w:rsidR="005C7C99" w:rsidRPr="00C41916" w:rsidRDefault="005C7C99" w:rsidP="006C79D7">
      <w:pPr>
        <w:spacing w:after="0"/>
        <w:ind w:firstLine="567"/>
        <w:jc w:val="both"/>
        <w:rPr>
          <w:rFonts w:ascii="Times New Roman" w:eastAsia="Times New Roman" w:hAnsi="Times New Roman" w:cs="Times New Roman"/>
          <w:sz w:val="24"/>
          <w:szCs w:val="24"/>
          <w:lang w:eastAsia="lv-LV"/>
        </w:rPr>
      </w:pPr>
    </w:p>
    <w:p w:rsidR="005C7C99" w:rsidRPr="00C41916" w:rsidRDefault="005C7C99" w:rsidP="006C79D7">
      <w:pPr>
        <w:spacing w:after="0"/>
        <w:ind w:firstLine="709"/>
        <w:jc w:val="both"/>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 xml:space="preserve">Lai nodrošinātu valsts amatpersonu darbību sabiedrības interesēs, novēršot jebkuras valsts amatpersonas, tās radinieku vai darījumu partneru personiskās vai mantiskās ieinteresētības ietekmi uz valsts amatpersonas darbību, Birojs kontrolē </w:t>
      </w:r>
      <w:r w:rsidR="00AB75A7">
        <w:rPr>
          <w:rFonts w:ascii="Times New Roman" w:eastAsia="Times New Roman" w:hAnsi="Times New Roman" w:cs="Times New Roman"/>
          <w:sz w:val="24"/>
          <w:szCs w:val="24"/>
          <w:lang w:eastAsia="lv-LV"/>
        </w:rPr>
        <w:t>Interešu konflikta likuma</w:t>
      </w:r>
      <w:r w:rsidRPr="00C41916">
        <w:rPr>
          <w:rFonts w:ascii="Times New Roman" w:eastAsia="Times New Roman" w:hAnsi="Times New Roman" w:cs="Times New Roman"/>
          <w:sz w:val="24"/>
          <w:szCs w:val="24"/>
          <w:lang w:eastAsia="lv-LV"/>
        </w:rPr>
        <w:t xml:space="preserve"> izpildi, kā arī citos normatīvajos aktos valsts amatpersonām noteikto papildu ierobežojumu ievērošanu.</w:t>
      </w:r>
    </w:p>
    <w:p w:rsidR="00AB75A7" w:rsidRDefault="005C7C99" w:rsidP="006C79D7">
      <w:pPr>
        <w:spacing w:after="0"/>
        <w:ind w:firstLine="709"/>
        <w:jc w:val="both"/>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 xml:space="preserve">Veicot </w:t>
      </w:r>
      <w:r>
        <w:rPr>
          <w:rFonts w:ascii="Times New Roman" w:eastAsia="Times New Roman" w:hAnsi="Times New Roman" w:cs="Times New Roman"/>
          <w:sz w:val="24"/>
          <w:szCs w:val="24"/>
          <w:lang w:eastAsia="lv-LV"/>
        </w:rPr>
        <w:t xml:space="preserve">Korupcijas novēršanas un apkarošanas biroja </w:t>
      </w:r>
      <w:r w:rsidRPr="00C41916">
        <w:rPr>
          <w:rFonts w:ascii="Times New Roman" w:eastAsia="Times New Roman" w:hAnsi="Times New Roman" w:cs="Times New Roman"/>
          <w:sz w:val="24"/>
          <w:szCs w:val="24"/>
          <w:lang w:eastAsia="lv-LV"/>
        </w:rPr>
        <w:t>likumā noteiktās funkcijas valsts amatpersonu darbības kontroles jomā, 201</w:t>
      </w:r>
      <w:r w:rsidR="00AB75A7">
        <w:rPr>
          <w:rFonts w:ascii="Times New Roman" w:eastAsia="Times New Roman" w:hAnsi="Times New Roman" w:cs="Times New Roman"/>
          <w:sz w:val="24"/>
          <w:szCs w:val="24"/>
          <w:lang w:eastAsia="lv-LV"/>
        </w:rPr>
        <w:t>7</w:t>
      </w:r>
      <w:r w:rsidRPr="00C41916">
        <w:rPr>
          <w:rFonts w:ascii="Times New Roman" w:eastAsia="Times New Roman" w:hAnsi="Times New Roman" w:cs="Times New Roman"/>
          <w:sz w:val="24"/>
          <w:szCs w:val="24"/>
          <w:lang w:eastAsia="lv-LV"/>
        </w:rPr>
        <w:t xml:space="preserve">.gadā Birojs uzsāka </w:t>
      </w:r>
      <w:r w:rsidR="00AB75A7">
        <w:rPr>
          <w:rFonts w:ascii="Times New Roman" w:eastAsia="Times New Roman" w:hAnsi="Times New Roman" w:cs="Times New Roman"/>
          <w:sz w:val="24"/>
          <w:szCs w:val="24"/>
          <w:lang w:eastAsia="lv-LV"/>
        </w:rPr>
        <w:t xml:space="preserve">491 </w:t>
      </w:r>
      <w:proofErr w:type="spellStart"/>
      <w:r w:rsidR="00AB75A7">
        <w:rPr>
          <w:rFonts w:ascii="Times New Roman" w:eastAsia="Times New Roman" w:hAnsi="Times New Roman" w:cs="Times New Roman"/>
          <w:sz w:val="24"/>
          <w:szCs w:val="24"/>
          <w:lang w:eastAsia="lv-LV"/>
        </w:rPr>
        <w:t>resorisko</w:t>
      </w:r>
      <w:proofErr w:type="spellEnd"/>
      <w:r w:rsidR="00AB75A7">
        <w:rPr>
          <w:rFonts w:ascii="Times New Roman" w:eastAsia="Times New Roman" w:hAnsi="Times New Roman" w:cs="Times New Roman"/>
          <w:sz w:val="24"/>
          <w:szCs w:val="24"/>
          <w:lang w:eastAsia="lv-LV"/>
        </w:rPr>
        <w:t xml:space="preserve"> pārbaudi, savukārt pabeidza 494. </w:t>
      </w:r>
      <w:r w:rsidR="00AB75A7" w:rsidRPr="00C41916">
        <w:rPr>
          <w:rFonts w:ascii="Times New Roman" w:eastAsia="Times New Roman" w:hAnsi="Times New Roman" w:cs="Times New Roman"/>
          <w:sz w:val="24"/>
          <w:szCs w:val="24"/>
          <w:lang w:eastAsia="lv-LV"/>
        </w:rPr>
        <w:t>Izskatot iesniegumus un sūdzības par valsts amatpersonu iespējamo darbību interešu konflikta situācijā, vienlaicīgi tiek pārbaudīta šo valsts amatpersonu deklarācijās norādītā informācija, lai konstatētu, vai tā nesatur z</w:t>
      </w:r>
      <w:r w:rsidR="0095516E">
        <w:rPr>
          <w:rFonts w:ascii="Times New Roman" w:eastAsia="Times New Roman" w:hAnsi="Times New Roman" w:cs="Times New Roman"/>
          <w:sz w:val="24"/>
          <w:szCs w:val="24"/>
          <w:lang w:eastAsia="lv-LV"/>
        </w:rPr>
        <w:t>iņas, kas liecina par iespējam</w:t>
      </w:r>
      <w:r w:rsidR="00AB75A7" w:rsidRPr="00C41916">
        <w:rPr>
          <w:rFonts w:ascii="Times New Roman" w:eastAsia="Times New Roman" w:hAnsi="Times New Roman" w:cs="Times New Roman"/>
          <w:sz w:val="24"/>
          <w:szCs w:val="24"/>
          <w:lang w:eastAsia="lv-LV"/>
        </w:rPr>
        <w:t xml:space="preserve">iem valsts amatpersonām </w:t>
      </w:r>
      <w:r w:rsidR="00AB75A7">
        <w:rPr>
          <w:rFonts w:ascii="Times New Roman" w:eastAsia="Times New Roman" w:hAnsi="Times New Roman" w:cs="Times New Roman"/>
          <w:sz w:val="24"/>
          <w:szCs w:val="24"/>
          <w:lang w:eastAsia="lv-LV"/>
        </w:rPr>
        <w:t xml:space="preserve">Interešu konflikta likumā </w:t>
      </w:r>
      <w:r w:rsidR="00AB75A7" w:rsidRPr="00C41916">
        <w:rPr>
          <w:rFonts w:ascii="Times New Roman" w:eastAsia="Times New Roman" w:hAnsi="Times New Roman" w:cs="Times New Roman"/>
          <w:sz w:val="24"/>
          <w:szCs w:val="24"/>
          <w:lang w:eastAsia="lv-LV"/>
        </w:rPr>
        <w:t>noteikto ierobežojumu un aizliegumu pārkāpumiem.</w:t>
      </w:r>
    </w:p>
    <w:p w:rsidR="00AB75A7" w:rsidRDefault="00AB75A7" w:rsidP="006C79D7">
      <w:pPr>
        <w:spacing w:after="0"/>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Veikto </w:t>
      </w:r>
      <w:proofErr w:type="spellStart"/>
      <w:r>
        <w:rPr>
          <w:rFonts w:ascii="Times New Roman" w:eastAsia="Times New Roman" w:hAnsi="Times New Roman" w:cs="Times New Roman"/>
          <w:sz w:val="24"/>
          <w:szCs w:val="24"/>
          <w:lang w:eastAsia="lv-LV"/>
        </w:rPr>
        <w:t>resorisko</w:t>
      </w:r>
      <w:proofErr w:type="spellEnd"/>
      <w:r>
        <w:rPr>
          <w:rFonts w:ascii="Times New Roman" w:eastAsia="Times New Roman" w:hAnsi="Times New Roman" w:cs="Times New Roman"/>
          <w:sz w:val="24"/>
          <w:szCs w:val="24"/>
          <w:lang w:eastAsia="lv-LV"/>
        </w:rPr>
        <w:t xml:space="preserve"> pārbaužu ietvaros atbilstoši savai kompetencei Birojs 2017.gadā ir pārbaudījis</w:t>
      </w:r>
      <w:r w:rsidR="0077507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1190 valsts amatpersonas, izvērtējot 1502 valsts amatpersonu deklarācijās norādītās ziņas.</w:t>
      </w:r>
    </w:p>
    <w:p w:rsidR="005C7C99" w:rsidRPr="00C41916" w:rsidRDefault="005C7C99" w:rsidP="006C79D7">
      <w:pPr>
        <w:spacing w:after="0"/>
        <w:ind w:firstLine="709"/>
        <w:jc w:val="both"/>
        <w:rPr>
          <w:rFonts w:ascii="Times New Roman" w:hAnsi="Times New Roman" w:cs="Times New Roman"/>
          <w:sz w:val="24"/>
          <w:szCs w:val="24"/>
        </w:rPr>
      </w:pPr>
      <w:r w:rsidRPr="00C41916">
        <w:rPr>
          <w:rFonts w:ascii="Times New Roman" w:eastAsia="Times New Roman" w:hAnsi="Times New Roman" w:cs="Times New Roman"/>
          <w:sz w:val="24"/>
          <w:szCs w:val="24"/>
          <w:lang w:eastAsia="lv-LV"/>
        </w:rPr>
        <w:t xml:space="preserve">Saistībā ar </w:t>
      </w:r>
      <w:r w:rsidR="00AB75A7">
        <w:rPr>
          <w:rFonts w:ascii="Times New Roman" w:eastAsia="Times New Roman" w:hAnsi="Times New Roman" w:cs="Times New Roman"/>
          <w:sz w:val="24"/>
          <w:szCs w:val="24"/>
          <w:lang w:eastAsia="lv-LV"/>
        </w:rPr>
        <w:t>Interešu konflikta likumā</w:t>
      </w:r>
      <w:r w:rsidRPr="00C41916">
        <w:rPr>
          <w:rFonts w:ascii="Times New Roman" w:eastAsia="Times New Roman" w:hAnsi="Times New Roman" w:cs="Times New Roman"/>
          <w:sz w:val="24"/>
          <w:szCs w:val="24"/>
          <w:lang w:eastAsia="lv-LV"/>
        </w:rPr>
        <w:t xml:space="preserve"> valsts amatpersonām noteikto ierobežojumu, aizliegumu un pienākumu neievērošanu, p</w:t>
      </w:r>
      <w:r w:rsidRPr="00C41916">
        <w:rPr>
          <w:rFonts w:ascii="Times New Roman" w:hAnsi="Times New Roman" w:cs="Times New Roman"/>
          <w:sz w:val="24"/>
          <w:szCs w:val="24"/>
        </w:rPr>
        <w:t xml:space="preserve">ārskata periodā </w:t>
      </w:r>
      <w:r w:rsidR="00AB75A7">
        <w:rPr>
          <w:rFonts w:ascii="Times New Roman" w:hAnsi="Times New Roman" w:cs="Times New Roman"/>
          <w:sz w:val="24"/>
          <w:szCs w:val="24"/>
        </w:rPr>
        <w:t>308</w:t>
      </w:r>
      <w:r w:rsidRPr="00C41916">
        <w:rPr>
          <w:rFonts w:ascii="Times New Roman" w:hAnsi="Times New Roman" w:cs="Times New Roman"/>
          <w:sz w:val="24"/>
          <w:szCs w:val="24"/>
        </w:rPr>
        <w:t xml:space="preserve"> gadījumos ir uzsākta lietvedība</w:t>
      </w:r>
      <w:r w:rsidR="00AB75A7">
        <w:rPr>
          <w:rFonts w:ascii="Times New Roman" w:hAnsi="Times New Roman" w:cs="Times New Roman"/>
          <w:sz w:val="24"/>
          <w:szCs w:val="24"/>
        </w:rPr>
        <w:t xml:space="preserve"> administratīvā pārkāpuma </w:t>
      </w:r>
      <w:r w:rsidR="00425D3B">
        <w:rPr>
          <w:rFonts w:ascii="Times New Roman" w:hAnsi="Times New Roman" w:cs="Times New Roman"/>
          <w:sz w:val="24"/>
          <w:szCs w:val="24"/>
        </w:rPr>
        <w:t>lietā</w:t>
      </w:r>
      <w:r w:rsidR="00AB75A7">
        <w:rPr>
          <w:rFonts w:ascii="Times New Roman" w:hAnsi="Times New Roman" w:cs="Times New Roman"/>
          <w:sz w:val="24"/>
          <w:szCs w:val="24"/>
        </w:rPr>
        <w:t>, 108 gadījumos pieņemts lēmums par atteikšanos uzsākt lietvedību administratīvā pārkāpuma lietā.</w:t>
      </w:r>
    </w:p>
    <w:p w:rsidR="005C7C99" w:rsidRDefault="005C7C99" w:rsidP="006C79D7">
      <w:pPr>
        <w:spacing w:after="0"/>
        <w:ind w:firstLine="709"/>
        <w:jc w:val="both"/>
        <w:rPr>
          <w:rFonts w:ascii="Times New Roman" w:hAnsi="Times New Roman" w:cs="Times New Roman"/>
          <w:sz w:val="24"/>
          <w:szCs w:val="24"/>
        </w:rPr>
      </w:pPr>
      <w:r w:rsidRPr="00160E22">
        <w:rPr>
          <w:rFonts w:ascii="Times New Roman" w:hAnsi="Times New Roman" w:cs="Times New Roman"/>
          <w:color w:val="000000" w:themeColor="text1"/>
          <w:sz w:val="24"/>
          <w:szCs w:val="24"/>
        </w:rPr>
        <w:lastRenderedPageBreak/>
        <w:t xml:space="preserve">Pārskata periodā ir pieņemti </w:t>
      </w:r>
      <w:r w:rsidR="00AB75A7">
        <w:rPr>
          <w:rFonts w:ascii="Times New Roman" w:hAnsi="Times New Roman" w:cs="Times New Roman"/>
          <w:color w:val="000000" w:themeColor="text1"/>
          <w:sz w:val="24"/>
          <w:szCs w:val="24"/>
        </w:rPr>
        <w:t>220</w:t>
      </w:r>
      <w:r w:rsidRPr="00160E22">
        <w:rPr>
          <w:rFonts w:ascii="Times New Roman" w:hAnsi="Times New Roman" w:cs="Times New Roman"/>
          <w:color w:val="000000" w:themeColor="text1"/>
          <w:sz w:val="24"/>
          <w:szCs w:val="24"/>
        </w:rPr>
        <w:t xml:space="preserve"> lēmumi administratīvā pārkāpuma lietās. Ar naudas sodu sodītas </w:t>
      </w:r>
      <w:r w:rsidR="00AB75A7">
        <w:rPr>
          <w:rFonts w:ascii="Times New Roman" w:hAnsi="Times New Roman" w:cs="Times New Roman"/>
          <w:color w:val="000000" w:themeColor="text1"/>
          <w:sz w:val="24"/>
          <w:szCs w:val="24"/>
        </w:rPr>
        <w:t>144</w:t>
      </w:r>
      <w:r w:rsidRPr="00160E22">
        <w:rPr>
          <w:rFonts w:ascii="Times New Roman" w:hAnsi="Times New Roman" w:cs="Times New Roman"/>
          <w:color w:val="000000" w:themeColor="text1"/>
          <w:sz w:val="24"/>
          <w:szCs w:val="24"/>
        </w:rPr>
        <w:t xml:space="preserve"> valsts amatpersonas par kopējo summu </w:t>
      </w:r>
      <w:r w:rsidR="00AB75A7">
        <w:rPr>
          <w:rFonts w:ascii="Times New Roman" w:hAnsi="Times New Roman" w:cs="Times New Roman"/>
          <w:color w:val="000000" w:themeColor="text1"/>
          <w:sz w:val="24"/>
          <w:szCs w:val="24"/>
        </w:rPr>
        <w:t>15</w:t>
      </w:r>
      <w:r w:rsidR="00036365">
        <w:rPr>
          <w:rFonts w:ascii="Times New Roman" w:hAnsi="Times New Roman" w:cs="Times New Roman"/>
          <w:color w:val="000000" w:themeColor="text1"/>
          <w:sz w:val="24"/>
          <w:szCs w:val="24"/>
        </w:rPr>
        <w:t> </w:t>
      </w:r>
      <w:r w:rsidR="00AB75A7">
        <w:rPr>
          <w:rFonts w:ascii="Times New Roman" w:hAnsi="Times New Roman" w:cs="Times New Roman"/>
          <w:color w:val="000000" w:themeColor="text1"/>
          <w:sz w:val="24"/>
          <w:szCs w:val="24"/>
        </w:rPr>
        <w:t>145</w:t>
      </w:r>
      <w:r w:rsidR="00036365">
        <w:rPr>
          <w:rFonts w:ascii="Times New Roman" w:hAnsi="Times New Roman" w:cs="Times New Roman"/>
          <w:color w:val="000000" w:themeColor="text1"/>
          <w:sz w:val="24"/>
          <w:szCs w:val="24"/>
        </w:rPr>
        <w:t xml:space="preserve"> </w:t>
      </w:r>
      <w:proofErr w:type="spellStart"/>
      <w:r w:rsidR="00036365">
        <w:rPr>
          <w:rFonts w:ascii="Times New Roman" w:hAnsi="Times New Roman" w:cs="Times New Roman"/>
          <w:i/>
          <w:color w:val="000000" w:themeColor="text1"/>
          <w:sz w:val="24"/>
          <w:szCs w:val="24"/>
        </w:rPr>
        <w:t>euro</w:t>
      </w:r>
      <w:proofErr w:type="spellEnd"/>
      <w:r>
        <w:rPr>
          <w:rFonts w:ascii="Times New Roman" w:hAnsi="Times New Roman" w:cs="Times New Roman"/>
          <w:color w:val="000000" w:themeColor="text1"/>
          <w:sz w:val="24"/>
          <w:szCs w:val="24"/>
        </w:rPr>
        <w:t xml:space="preserve">, savukārt </w:t>
      </w:r>
      <w:r w:rsidR="00AB75A7">
        <w:rPr>
          <w:rFonts w:ascii="Times New Roman" w:hAnsi="Times New Roman" w:cs="Times New Roman"/>
          <w:color w:val="000000" w:themeColor="text1"/>
          <w:sz w:val="24"/>
          <w:szCs w:val="24"/>
        </w:rPr>
        <w:t xml:space="preserve">57 valsts amatpersonām saskaņā ar Latvijas Administratīvo pārkāpumu kodeksa 21.pantu izteikts mutvārdu aizrādījums. </w:t>
      </w:r>
      <w:r w:rsidRPr="00C41916">
        <w:rPr>
          <w:rFonts w:ascii="Times New Roman" w:hAnsi="Times New Roman" w:cs="Times New Roman"/>
          <w:sz w:val="24"/>
          <w:szCs w:val="24"/>
        </w:rPr>
        <w:t xml:space="preserve">Pieņemtie lēmumi un uzliktie naudas sodi ir atspoguļoti </w:t>
      </w:r>
      <w:r w:rsidR="0032057C">
        <w:rPr>
          <w:rFonts w:ascii="Times New Roman" w:hAnsi="Times New Roman" w:cs="Times New Roman"/>
          <w:sz w:val="24"/>
          <w:szCs w:val="24"/>
        </w:rPr>
        <w:t>4</w:t>
      </w:r>
      <w:r w:rsidRPr="00C41916">
        <w:rPr>
          <w:rFonts w:ascii="Times New Roman" w:hAnsi="Times New Roman" w:cs="Times New Roman"/>
          <w:sz w:val="24"/>
          <w:szCs w:val="24"/>
        </w:rPr>
        <w:t>.attēlā.</w:t>
      </w:r>
    </w:p>
    <w:p w:rsidR="005C7C99" w:rsidRPr="00A46773" w:rsidRDefault="00D76B95" w:rsidP="006C79D7">
      <w:pPr>
        <w:spacing w:before="240" w:after="0"/>
        <w:jc w:val="center"/>
        <w:rPr>
          <w:noProof/>
          <w:lang w:eastAsia="lv-LV"/>
        </w:rPr>
      </w:pPr>
      <w:r w:rsidRPr="00A46773">
        <w:rPr>
          <w:noProof/>
          <w:lang w:eastAsia="lv-LV"/>
        </w:rPr>
        <w:drawing>
          <wp:inline distT="0" distB="0" distL="0" distR="0" wp14:anchorId="53BC8275" wp14:editId="01E59D65">
            <wp:extent cx="5120640" cy="2544418"/>
            <wp:effectExtent l="0" t="0" r="22860" b="279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7C99" w:rsidRPr="00A46773" w:rsidRDefault="0032057C" w:rsidP="006C79D7">
      <w:pPr>
        <w:spacing w:after="0"/>
        <w:jc w:val="center"/>
        <w:rPr>
          <w:rFonts w:ascii="Times New Roman" w:hAnsi="Times New Roman" w:cs="Times New Roman"/>
          <w:i/>
        </w:rPr>
      </w:pPr>
      <w:r w:rsidRPr="00A46773">
        <w:rPr>
          <w:rFonts w:ascii="Times New Roman" w:hAnsi="Times New Roman" w:cs="Times New Roman"/>
          <w:i/>
        </w:rPr>
        <w:t>4</w:t>
      </w:r>
      <w:r w:rsidR="005C7C99" w:rsidRPr="00A46773">
        <w:rPr>
          <w:rFonts w:ascii="Times New Roman" w:hAnsi="Times New Roman" w:cs="Times New Roman"/>
          <w:i/>
        </w:rPr>
        <w:t>.attēls. Pieņemtie lēmumi un uzliktie naudas sodi</w:t>
      </w:r>
    </w:p>
    <w:p w:rsidR="007C77C3" w:rsidRDefault="007C77C3" w:rsidP="006C79D7">
      <w:pPr>
        <w:spacing w:after="0"/>
        <w:ind w:firstLine="567"/>
        <w:jc w:val="both"/>
        <w:rPr>
          <w:rFonts w:ascii="Times New Roman" w:hAnsi="Times New Roman" w:cs="Times New Roman"/>
          <w:sz w:val="24"/>
          <w:szCs w:val="24"/>
        </w:rPr>
      </w:pPr>
      <w:bookmarkStart w:id="49" w:name="_Toc282617333"/>
    </w:p>
    <w:p w:rsidR="00F65D4B" w:rsidRDefault="005C7C99" w:rsidP="006C79D7">
      <w:pPr>
        <w:spacing w:after="0"/>
        <w:ind w:firstLine="709"/>
        <w:jc w:val="both"/>
        <w:rPr>
          <w:rFonts w:ascii="Times New Roman" w:hAnsi="Times New Roman" w:cs="Times New Roman"/>
          <w:sz w:val="24"/>
          <w:szCs w:val="24"/>
        </w:rPr>
      </w:pPr>
      <w:r>
        <w:rPr>
          <w:rFonts w:ascii="Times New Roman" w:hAnsi="Times New Roman" w:cs="Times New Roman"/>
          <w:sz w:val="24"/>
          <w:szCs w:val="24"/>
        </w:rPr>
        <w:t>S</w:t>
      </w:r>
      <w:r w:rsidRPr="00C41916">
        <w:rPr>
          <w:rFonts w:ascii="Times New Roman" w:hAnsi="Times New Roman" w:cs="Times New Roman"/>
          <w:sz w:val="24"/>
          <w:szCs w:val="24"/>
        </w:rPr>
        <w:t xml:space="preserve">askaņā </w:t>
      </w:r>
      <w:r>
        <w:rPr>
          <w:rFonts w:ascii="Times New Roman" w:hAnsi="Times New Roman" w:cs="Times New Roman"/>
          <w:sz w:val="24"/>
          <w:szCs w:val="24"/>
        </w:rPr>
        <w:t xml:space="preserve">ar </w:t>
      </w:r>
      <w:r w:rsidR="00747777">
        <w:rPr>
          <w:rFonts w:ascii="Times New Roman" w:hAnsi="Times New Roman" w:cs="Times New Roman"/>
          <w:sz w:val="24"/>
          <w:szCs w:val="24"/>
        </w:rPr>
        <w:t>Interešu konflikta likuma</w:t>
      </w:r>
      <w:r w:rsidR="0095516E">
        <w:rPr>
          <w:rFonts w:ascii="Times New Roman" w:hAnsi="Times New Roman" w:cs="Times New Roman"/>
          <w:sz w:val="24"/>
          <w:szCs w:val="24"/>
        </w:rPr>
        <w:t xml:space="preserve"> 30.pantā noteikto,</w:t>
      </w:r>
      <w:r>
        <w:rPr>
          <w:rFonts w:ascii="Times New Roman" w:hAnsi="Times New Roman" w:cs="Times New Roman"/>
          <w:sz w:val="24"/>
          <w:szCs w:val="24"/>
        </w:rPr>
        <w:t xml:space="preserve"> </w:t>
      </w:r>
      <w:r w:rsidRPr="00C41916">
        <w:rPr>
          <w:rFonts w:ascii="Times New Roman" w:hAnsi="Times New Roman" w:cs="Times New Roman"/>
          <w:sz w:val="24"/>
          <w:szCs w:val="24"/>
        </w:rPr>
        <w:t>201</w:t>
      </w:r>
      <w:r w:rsidR="00747777">
        <w:rPr>
          <w:rFonts w:ascii="Times New Roman" w:hAnsi="Times New Roman" w:cs="Times New Roman"/>
          <w:sz w:val="24"/>
          <w:szCs w:val="24"/>
        </w:rPr>
        <w:t>7</w:t>
      </w:r>
      <w:r w:rsidRPr="00C41916">
        <w:rPr>
          <w:rFonts w:ascii="Times New Roman" w:hAnsi="Times New Roman" w:cs="Times New Roman"/>
          <w:sz w:val="24"/>
          <w:szCs w:val="24"/>
        </w:rPr>
        <w:t xml:space="preserve">.gadā </w:t>
      </w:r>
      <w:r w:rsidR="00747777">
        <w:rPr>
          <w:rFonts w:ascii="Times New Roman" w:hAnsi="Times New Roman" w:cs="Times New Roman"/>
          <w:sz w:val="24"/>
          <w:szCs w:val="24"/>
        </w:rPr>
        <w:t>21</w:t>
      </w:r>
      <w:r>
        <w:rPr>
          <w:rFonts w:ascii="Times New Roman" w:hAnsi="Times New Roman" w:cs="Times New Roman"/>
          <w:sz w:val="24"/>
          <w:szCs w:val="24"/>
        </w:rPr>
        <w:t xml:space="preserve"> </w:t>
      </w:r>
      <w:r w:rsidR="00747777">
        <w:rPr>
          <w:rFonts w:ascii="Times New Roman" w:hAnsi="Times New Roman" w:cs="Times New Roman"/>
          <w:sz w:val="24"/>
          <w:szCs w:val="24"/>
        </w:rPr>
        <w:t>personai</w:t>
      </w:r>
      <w:r w:rsidRPr="00C41916">
        <w:rPr>
          <w:rFonts w:ascii="Times New Roman" w:hAnsi="Times New Roman" w:cs="Times New Roman"/>
          <w:sz w:val="24"/>
          <w:szCs w:val="24"/>
        </w:rPr>
        <w:t xml:space="preserve"> lūgts atlīdzināt valstij nodarītos zaudējumus par kopējo summu </w:t>
      </w:r>
      <w:r w:rsidR="00747777">
        <w:rPr>
          <w:rFonts w:ascii="Times New Roman" w:hAnsi="Times New Roman" w:cs="Times New Roman"/>
          <w:sz w:val="24"/>
          <w:szCs w:val="24"/>
        </w:rPr>
        <w:t>21 616,</w:t>
      </w:r>
      <w:r w:rsidR="00F65D4B">
        <w:rPr>
          <w:rFonts w:ascii="Times New Roman" w:hAnsi="Times New Roman" w:cs="Times New Roman"/>
          <w:sz w:val="24"/>
          <w:szCs w:val="24"/>
        </w:rPr>
        <w:t>47</w:t>
      </w:r>
      <w:r w:rsidRPr="00C41916">
        <w:rPr>
          <w:rFonts w:ascii="Times New Roman" w:hAnsi="Times New Roman" w:cs="Times New Roman"/>
          <w:sz w:val="24"/>
          <w:szCs w:val="24"/>
        </w:rPr>
        <w:t xml:space="preserve"> </w:t>
      </w:r>
      <w:proofErr w:type="spellStart"/>
      <w:r w:rsidR="00036365">
        <w:rPr>
          <w:rFonts w:ascii="Times New Roman" w:hAnsi="Times New Roman" w:cs="Times New Roman"/>
          <w:i/>
          <w:sz w:val="24"/>
          <w:szCs w:val="24"/>
        </w:rPr>
        <w:t>euro</w:t>
      </w:r>
      <w:proofErr w:type="spellEnd"/>
      <w:r w:rsidRPr="00C41916">
        <w:rPr>
          <w:rFonts w:ascii="Times New Roman" w:hAnsi="Times New Roman" w:cs="Times New Roman"/>
          <w:sz w:val="24"/>
          <w:szCs w:val="24"/>
        </w:rPr>
        <w:t>.</w:t>
      </w:r>
    </w:p>
    <w:p w:rsidR="00F65D4B" w:rsidRDefault="00F65D4B"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Pamatojoties uz Biroja pieņemtajiem lēmumiem administratīvo pārkāpumu lietās, amatpersonas 201</w:t>
      </w:r>
      <w:r>
        <w:rPr>
          <w:rFonts w:ascii="Times New Roman" w:hAnsi="Times New Roman" w:cs="Times New Roman"/>
          <w:sz w:val="24"/>
          <w:szCs w:val="24"/>
        </w:rPr>
        <w:t>7</w:t>
      </w:r>
      <w:r w:rsidRPr="00C41916">
        <w:rPr>
          <w:rFonts w:ascii="Times New Roman" w:hAnsi="Times New Roman" w:cs="Times New Roman"/>
          <w:sz w:val="24"/>
          <w:szCs w:val="24"/>
        </w:rPr>
        <w:t xml:space="preserve">.gadā valsts budžetā ir pārskaitījušas administratīvo naudas sodu kopsummā </w:t>
      </w:r>
      <w:r>
        <w:rPr>
          <w:rFonts w:ascii="Times New Roman" w:hAnsi="Times New Roman" w:cs="Times New Roman"/>
          <w:sz w:val="24"/>
          <w:szCs w:val="24"/>
        </w:rPr>
        <w:t>13 167,29</w:t>
      </w:r>
      <w:r w:rsidRPr="00C41916">
        <w:rPr>
          <w:rFonts w:ascii="Times New Roman" w:hAnsi="Times New Roman" w:cs="Times New Roman"/>
          <w:sz w:val="24"/>
          <w:szCs w:val="24"/>
        </w:rPr>
        <w:t xml:space="preserve"> </w:t>
      </w:r>
      <w:proofErr w:type="spellStart"/>
      <w:r w:rsidR="00036365">
        <w:rPr>
          <w:rFonts w:ascii="Times New Roman" w:hAnsi="Times New Roman" w:cs="Times New Roman"/>
          <w:i/>
          <w:sz w:val="24"/>
          <w:szCs w:val="24"/>
        </w:rPr>
        <w:t>euro</w:t>
      </w:r>
      <w:proofErr w:type="spellEnd"/>
      <w:r w:rsidR="00E86B8A">
        <w:rPr>
          <w:rFonts w:ascii="Times New Roman" w:hAnsi="Times New Roman" w:cs="Times New Roman"/>
          <w:sz w:val="24"/>
          <w:szCs w:val="24"/>
        </w:rPr>
        <w:t>.</w:t>
      </w:r>
    </w:p>
    <w:p w:rsidR="005C7C99" w:rsidRPr="00C41916" w:rsidRDefault="005C7C99"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 xml:space="preserve">Savukārt par </w:t>
      </w:r>
      <w:r w:rsidR="00F65D4B">
        <w:rPr>
          <w:rFonts w:ascii="Times New Roman" w:hAnsi="Times New Roman" w:cs="Times New Roman"/>
          <w:sz w:val="24"/>
          <w:szCs w:val="24"/>
        </w:rPr>
        <w:t>Interešu konflikta likuma</w:t>
      </w:r>
      <w:r>
        <w:rPr>
          <w:rFonts w:ascii="Times New Roman" w:hAnsi="Times New Roman" w:cs="Times New Roman"/>
          <w:sz w:val="24"/>
          <w:szCs w:val="24"/>
        </w:rPr>
        <w:t xml:space="preserve"> </w:t>
      </w:r>
      <w:r w:rsidRPr="00C41916">
        <w:rPr>
          <w:rFonts w:ascii="Times New Roman" w:hAnsi="Times New Roman" w:cs="Times New Roman"/>
          <w:sz w:val="24"/>
          <w:szCs w:val="24"/>
        </w:rPr>
        <w:t>normu piemērošanu 201</w:t>
      </w:r>
      <w:r w:rsidR="00F65D4B">
        <w:rPr>
          <w:rFonts w:ascii="Times New Roman" w:hAnsi="Times New Roman" w:cs="Times New Roman"/>
          <w:sz w:val="24"/>
          <w:szCs w:val="24"/>
        </w:rPr>
        <w:t>7</w:t>
      </w:r>
      <w:r w:rsidRPr="00C41916">
        <w:rPr>
          <w:rFonts w:ascii="Times New Roman" w:hAnsi="Times New Roman" w:cs="Times New Roman"/>
          <w:sz w:val="24"/>
          <w:szCs w:val="24"/>
        </w:rPr>
        <w:t>.gadā sniegti 1</w:t>
      </w:r>
      <w:r w:rsidR="00F65D4B">
        <w:rPr>
          <w:rFonts w:ascii="Times New Roman" w:hAnsi="Times New Roman" w:cs="Times New Roman"/>
          <w:sz w:val="24"/>
          <w:szCs w:val="24"/>
        </w:rPr>
        <w:t>70</w:t>
      </w:r>
      <w:r w:rsidRPr="00C41916">
        <w:rPr>
          <w:rFonts w:ascii="Times New Roman" w:hAnsi="Times New Roman" w:cs="Times New Roman"/>
          <w:sz w:val="24"/>
          <w:szCs w:val="24"/>
        </w:rPr>
        <w:t xml:space="preserve"> rakstiski skaidrojumi</w:t>
      </w:r>
      <w:r w:rsidR="00F65D4B">
        <w:rPr>
          <w:rFonts w:ascii="Times New Roman" w:hAnsi="Times New Roman" w:cs="Times New Roman"/>
          <w:sz w:val="24"/>
          <w:szCs w:val="24"/>
        </w:rPr>
        <w:t xml:space="preserve"> un 956 mutiskas konsultācijas pa tālruni</w:t>
      </w:r>
      <w:r w:rsidRPr="00C41916">
        <w:rPr>
          <w:rFonts w:ascii="Times New Roman" w:hAnsi="Times New Roman" w:cs="Times New Roman"/>
          <w:sz w:val="24"/>
          <w:szCs w:val="24"/>
        </w:rPr>
        <w:t>.</w:t>
      </w:r>
    </w:p>
    <w:p w:rsidR="005C7C99" w:rsidRPr="00C41916" w:rsidRDefault="005C7C99" w:rsidP="006C79D7">
      <w:pPr>
        <w:spacing w:after="0"/>
        <w:ind w:firstLine="709"/>
        <w:jc w:val="both"/>
        <w:rPr>
          <w:rFonts w:ascii="Times New Roman" w:eastAsia="Times New Roman" w:hAnsi="Times New Roman" w:cs="Times New Roman"/>
          <w:sz w:val="24"/>
          <w:szCs w:val="24"/>
          <w:lang w:eastAsia="lv-LV"/>
        </w:rPr>
      </w:pPr>
      <w:proofErr w:type="spellStart"/>
      <w:r w:rsidRPr="00C41916">
        <w:rPr>
          <w:rFonts w:ascii="Times New Roman" w:eastAsia="Times New Roman" w:hAnsi="Times New Roman" w:cs="Times New Roman"/>
          <w:sz w:val="24"/>
          <w:szCs w:val="24"/>
          <w:lang w:eastAsia="lv-LV"/>
        </w:rPr>
        <w:t>Resorisko</w:t>
      </w:r>
      <w:proofErr w:type="spellEnd"/>
      <w:r w:rsidRPr="00C41916">
        <w:rPr>
          <w:rFonts w:ascii="Times New Roman" w:eastAsia="Times New Roman" w:hAnsi="Times New Roman" w:cs="Times New Roman"/>
          <w:sz w:val="24"/>
          <w:szCs w:val="24"/>
          <w:lang w:eastAsia="lv-LV"/>
        </w:rPr>
        <w:t xml:space="preserve"> pārbaužu ietvaros konstatējot pazīmes, kas liecina par iespējamu valsts amatpersonas deklarācijas aizpildīšanas kārtības neievērošanu, 201</w:t>
      </w:r>
      <w:r w:rsidR="00F65D4B">
        <w:rPr>
          <w:rFonts w:ascii="Times New Roman" w:eastAsia="Times New Roman" w:hAnsi="Times New Roman" w:cs="Times New Roman"/>
          <w:sz w:val="24"/>
          <w:szCs w:val="24"/>
          <w:lang w:eastAsia="lv-LV"/>
        </w:rPr>
        <w:t>7</w:t>
      </w:r>
      <w:r w:rsidRPr="00C41916">
        <w:rPr>
          <w:rFonts w:ascii="Times New Roman" w:eastAsia="Times New Roman" w:hAnsi="Times New Roman" w:cs="Times New Roman"/>
          <w:sz w:val="24"/>
          <w:szCs w:val="24"/>
          <w:lang w:eastAsia="lv-LV"/>
        </w:rPr>
        <w:t xml:space="preserve">.gadā informācija par </w:t>
      </w:r>
      <w:r w:rsidR="00F65D4B">
        <w:rPr>
          <w:rFonts w:ascii="Times New Roman" w:eastAsia="Times New Roman" w:hAnsi="Times New Roman" w:cs="Times New Roman"/>
          <w:sz w:val="24"/>
          <w:szCs w:val="24"/>
          <w:lang w:eastAsia="lv-LV"/>
        </w:rPr>
        <w:t>17</w:t>
      </w:r>
      <w:r w:rsidRPr="00C41916">
        <w:rPr>
          <w:rFonts w:ascii="Times New Roman" w:eastAsia="Times New Roman" w:hAnsi="Times New Roman" w:cs="Times New Roman"/>
          <w:sz w:val="24"/>
          <w:szCs w:val="24"/>
          <w:lang w:eastAsia="lv-LV"/>
        </w:rPr>
        <w:t xml:space="preserve"> personām nosū</w:t>
      </w:r>
      <w:r w:rsidR="00F65D4B">
        <w:rPr>
          <w:rFonts w:ascii="Times New Roman" w:eastAsia="Times New Roman" w:hAnsi="Times New Roman" w:cs="Times New Roman"/>
          <w:sz w:val="24"/>
          <w:szCs w:val="24"/>
          <w:lang w:eastAsia="lv-LV"/>
        </w:rPr>
        <w:t xml:space="preserve">tīta Valsts ieņēmumu dienestam </w:t>
      </w:r>
      <w:r w:rsidRPr="00C41916">
        <w:rPr>
          <w:rFonts w:ascii="Times New Roman" w:eastAsia="Times New Roman" w:hAnsi="Times New Roman" w:cs="Times New Roman"/>
          <w:sz w:val="24"/>
          <w:szCs w:val="24"/>
          <w:lang w:eastAsia="lv-LV"/>
        </w:rPr>
        <w:t xml:space="preserve">izvērtēšanai kompetences ietvaros, savukārt ienākumu likumības pārbaudei </w:t>
      </w:r>
      <w:r w:rsidR="00F65D4B">
        <w:rPr>
          <w:rFonts w:ascii="Times New Roman" w:eastAsia="Times New Roman" w:hAnsi="Times New Roman" w:cs="Times New Roman"/>
          <w:sz w:val="24"/>
          <w:szCs w:val="24"/>
          <w:lang w:eastAsia="lv-LV"/>
        </w:rPr>
        <w:t>Valsts ieņēmumu dienestam</w:t>
      </w:r>
      <w:r w:rsidRPr="00C41916">
        <w:rPr>
          <w:rFonts w:ascii="Times New Roman" w:eastAsia="Times New Roman" w:hAnsi="Times New Roman" w:cs="Times New Roman"/>
          <w:sz w:val="24"/>
          <w:szCs w:val="24"/>
          <w:lang w:eastAsia="lv-LV"/>
        </w:rPr>
        <w:t xml:space="preserve"> nosūtīti materiāli par </w:t>
      </w:r>
      <w:r w:rsidR="00F65D4B">
        <w:rPr>
          <w:rFonts w:ascii="Times New Roman" w:eastAsia="Times New Roman" w:hAnsi="Times New Roman" w:cs="Times New Roman"/>
          <w:sz w:val="24"/>
          <w:szCs w:val="24"/>
          <w:lang w:eastAsia="lv-LV"/>
        </w:rPr>
        <w:t>7</w:t>
      </w:r>
      <w:r w:rsidRPr="00C41916">
        <w:rPr>
          <w:rFonts w:ascii="Times New Roman" w:eastAsia="Times New Roman" w:hAnsi="Times New Roman" w:cs="Times New Roman"/>
          <w:sz w:val="24"/>
          <w:szCs w:val="24"/>
          <w:lang w:eastAsia="lv-LV"/>
        </w:rPr>
        <w:t xml:space="preserve"> personām, kuru ienākumi vai viņu radinieku ienākumi nav bijuši atbilstoši</w:t>
      </w:r>
      <w:r>
        <w:rPr>
          <w:rFonts w:ascii="Times New Roman" w:eastAsia="Times New Roman" w:hAnsi="Times New Roman" w:cs="Times New Roman"/>
          <w:sz w:val="24"/>
          <w:szCs w:val="24"/>
          <w:lang w:eastAsia="lv-LV"/>
        </w:rPr>
        <w:t xml:space="preserve"> šo personu</w:t>
      </w:r>
      <w:r w:rsidRPr="00C41916">
        <w:rPr>
          <w:rFonts w:ascii="Times New Roman" w:eastAsia="Times New Roman" w:hAnsi="Times New Roman" w:cs="Times New Roman"/>
          <w:sz w:val="24"/>
          <w:szCs w:val="24"/>
          <w:lang w:eastAsia="lv-LV"/>
        </w:rPr>
        <w:t xml:space="preserve"> izdevumiem.</w:t>
      </w:r>
    </w:p>
    <w:p w:rsidR="00504785" w:rsidRPr="00504785" w:rsidRDefault="005C7C99" w:rsidP="006C79D7">
      <w:pPr>
        <w:spacing w:after="0"/>
        <w:ind w:firstLine="709"/>
        <w:jc w:val="both"/>
        <w:rPr>
          <w:rFonts w:ascii="Times New Roman" w:eastAsia="Times New Roman" w:hAnsi="Times New Roman" w:cs="Times New Roman"/>
          <w:color w:val="000000" w:themeColor="text1"/>
          <w:sz w:val="24"/>
          <w:szCs w:val="24"/>
          <w:lang w:eastAsia="lv-LV"/>
        </w:rPr>
      </w:pPr>
      <w:r w:rsidRPr="00504785">
        <w:rPr>
          <w:rFonts w:ascii="Times New Roman" w:eastAsia="Times New Roman" w:hAnsi="Times New Roman" w:cs="Times New Roman"/>
          <w:color w:val="000000" w:themeColor="text1"/>
          <w:sz w:val="24"/>
          <w:szCs w:val="24"/>
          <w:lang w:eastAsia="lv-LV"/>
        </w:rPr>
        <w:t>Visbiežāk 201</w:t>
      </w:r>
      <w:r w:rsidR="0038724D" w:rsidRPr="00504785">
        <w:rPr>
          <w:rFonts w:ascii="Times New Roman" w:eastAsia="Times New Roman" w:hAnsi="Times New Roman" w:cs="Times New Roman"/>
          <w:color w:val="000000" w:themeColor="text1"/>
          <w:sz w:val="24"/>
          <w:szCs w:val="24"/>
          <w:lang w:eastAsia="lv-LV"/>
        </w:rPr>
        <w:t>7</w:t>
      </w:r>
      <w:r w:rsidRPr="00504785">
        <w:rPr>
          <w:rFonts w:ascii="Times New Roman" w:eastAsia="Times New Roman" w:hAnsi="Times New Roman" w:cs="Times New Roman"/>
          <w:color w:val="000000" w:themeColor="text1"/>
          <w:sz w:val="24"/>
          <w:szCs w:val="24"/>
          <w:lang w:eastAsia="lv-LV"/>
        </w:rPr>
        <w:t xml:space="preserve">.gadā pieļautie </w:t>
      </w:r>
      <w:r w:rsidR="00F65D4B" w:rsidRPr="00504785">
        <w:rPr>
          <w:rFonts w:ascii="Times New Roman" w:eastAsia="Times New Roman" w:hAnsi="Times New Roman" w:cs="Times New Roman"/>
          <w:color w:val="000000" w:themeColor="text1"/>
          <w:sz w:val="24"/>
          <w:szCs w:val="24"/>
          <w:lang w:eastAsia="lv-LV"/>
        </w:rPr>
        <w:t>Interešu konflikta likumā</w:t>
      </w:r>
      <w:r w:rsidRPr="00504785">
        <w:rPr>
          <w:rFonts w:ascii="Times New Roman" w:eastAsia="Times New Roman" w:hAnsi="Times New Roman" w:cs="Times New Roman"/>
          <w:color w:val="000000" w:themeColor="text1"/>
          <w:sz w:val="24"/>
          <w:szCs w:val="24"/>
          <w:lang w:eastAsia="lv-LV"/>
        </w:rPr>
        <w:t xml:space="preserve"> noteikto ierobežojumu pārkāpumi ir sai</w:t>
      </w:r>
      <w:r w:rsidR="0038724D" w:rsidRPr="00504785">
        <w:rPr>
          <w:rFonts w:ascii="Times New Roman" w:eastAsia="Times New Roman" w:hAnsi="Times New Roman" w:cs="Times New Roman"/>
          <w:color w:val="000000" w:themeColor="text1"/>
          <w:sz w:val="24"/>
          <w:szCs w:val="24"/>
          <w:lang w:eastAsia="lv-LV"/>
        </w:rPr>
        <w:t>stīti</w:t>
      </w:r>
      <w:r w:rsidRPr="00504785">
        <w:rPr>
          <w:rFonts w:ascii="Times New Roman" w:eastAsia="Times New Roman" w:hAnsi="Times New Roman" w:cs="Times New Roman"/>
          <w:color w:val="000000" w:themeColor="text1"/>
          <w:sz w:val="24"/>
          <w:szCs w:val="24"/>
          <w:lang w:eastAsia="lv-LV"/>
        </w:rPr>
        <w:t xml:space="preserve"> ar speciālajiem ierobežojumiem atti</w:t>
      </w:r>
      <w:r w:rsidR="0038724D" w:rsidRPr="00504785">
        <w:rPr>
          <w:rFonts w:ascii="Times New Roman" w:eastAsia="Times New Roman" w:hAnsi="Times New Roman" w:cs="Times New Roman"/>
          <w:color w:val="000000" w:themeColor="text1"/>
          <w:sz w:val="24"/>
          <w:szCs w:val="24"/>
          <w:lang w:eastAsia="lv-LV"/>
        </w:rPr>
        <w:t>ecībā uz amatu savienošanu</w:t>
      </w:r>
      <w:r w:rsidR="00504785" w:rsidRPr="00504785">
        <w:rPr>
          <w:rFonts w:ascii="Times New Roman" w:eastAsia="Times New Roman" w:hAnsi="Times New Roman" w:cs="Times New Roman"/>
          <w:color w:val="000000" w:themeColor="text1"/>
          <w:sz w:val="24"/>
          <w:szCs w:val="24"/>
          <w:lang w:eastAsia="lv-LV"/>
        </w:rPr>
        <w:t>,</w:t>
      </w:r>
      <w:r w:rsidR="00504785" w:rsidRPr="00504785">
        <w:rPr>
          <w:color w:val="000000" w:themeColor="text1"/>
        </w:rPr>
        <w:t xml:space="preserve"> </w:t>
      </w:r>
      <w:r w:rsidR="00504785" w:rsidRPr="00504785">
        <w:rPr>
          <w:rFonts w:ascii="Times New Roman" w:eastAsia="Times New Roman" w:hAnsi="Times New Roman" w:cs="Times New Roman"/>
          <w:color w:val="000000" w:themeColor="text1"/>
          <w:sz w:val="24"/>
          <w:szCs w:val="24"/>
          <w:lang w:eastAsia="lv-LV"/>
        </w:rPr>
        <w:t>rīcību ar publiskas personas mantu, valsts amatpersonas funkciju veikšanu interešu konflikta situācijā,</w:t>
      </w:r>
      <w:r w:rsidR="00504785" w:rsidRPr="00504785">
        <w:rPr>
          <w:color w:val="000000" w:themeColor="text1"/>
        </w:rPr>
        <w:t xml:space="preserve"> </w:t>
      </w:r>
      <w:r w:rsidR="00504785" w:rsidRPr="00504785">
        <w:rPr>
          <w:rFonts w:ascii="Times New Roman" w:eastAsia="Times New Roman" w:hAnsi="Times New Roman" w:cs="Times New Roman"/>
          <w:color w:val="000000" w:themeColor="text1"/>
          <w:sz w:val="24"/>
          <w:szCs w:val="24"/>
          <w:lang w:eastAsia="lv-LV"/>
        </w:rPr>
        <w:t>komercdarbības</w:t>
      </w:r>
      <w:r w:rsidR="0032057C">
        <w:rPr>
          <w:rFonts w:ascii="Times New Roman" w:eastAsia="Times New Roman" w:hAnsi="Times New Roman" w:cs="Times New Roman"/>
          <w:color w:val="000000" w:themeColor="text1"/>
          <w:sz w:val="24"/>
          <w:szCs w:val="24"/>
          <w:lang w:eastAsia="lv-LV"/>
        </w:rPr>
        <w:t>, kā arī ziedojumu pieņemšanas i</w:t>
      </w:r>
      <w:r w:rsidR="0032057C" w:rsidRPr="00504785">
        <w:rPr>
          <w:rFonts w:ascii="Times New Roman" w:eastAsia="Times New Roman" w:hAnsi="Times New Roman" w:cs="Times New Roman"/>
          <w:color w:val="000000" w:themeColor="text1"/>
          <w:sz w:val="24"/>
          <w:szCs w:val="24"/>
          <w:lang w:eastAsia="lv-LV"/>
        </w:rPr>
        <w:t>erobežojumu neievērošanu</w:t>
      </w:r>
      <w:r w:rsidR="0032057C">
        <w:rPr>
          <w:rFonts w:ascii="Times New Roman" w:eastAsia="Times New Roman" w:hAnsi="Times New Roman" w:cs="Times New Roman"/>
          <w:color w:val="000000" w:themeColor="text1"/>
          <w:sz w:val="24"/>
          <w:szCs w:val="24"/>
          <w:lang w:eastAsia="lv-LV"/>
        </w:rPr>
        <w:t>.</w:t>
      </w:r>
    </w:p>
    <w:p w:rsidR="005C7C99" w:rsidRDefault="00464F0F" w:rsidP="006C79D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Valsts amatpersonu darbības kontroles nodaļas</w:t>
      </w:r>
      <w:r w:rsidR="005C7C99">
        <w:rPr>
          <w:rFonts w:ascii="Times New Roman" w:hAnsi="Times New Roman" w:cs="Times New Roman"/>
          <w:color w:val="000000"/>
          <w:sz w:val="24"/>
          <w:szCs w:val="24"/>
        </w:rPr>
        <w:t xml:space="preserve"> pieņemto lēmumu īpatsvars saistībā ar administratīvajiem pārkāpumiem korupcijas novēršanas jomā, kas nav </w:t>
      </w:r>
      <w:r>
        <w:rPr>
          <w:rFonts w:ascii="Times New Roman" w:hAnsi="Times New Roman" w:cs="Times New Roman"/>
          <w:color w:val="000000"/>
          <w:sz w:val="24"/>
          <w:szCs w:val="24"/>
        </w:rPr>
        <w:t xml:space="preserve">Biroja priekšnieka </w:t>
      </w:r>
      <w:r w:rsidR="005C7C99">
        <w:rPr>
          <w:rFonts w:ascii="Times New Roman" w:hAnsi="Times New Roman" w:cs="Times New Roman"/>
          <w:color w:val="000000"/>
          <w:sz w:val="24"/>
          <w:szCs w:val="24"/>
        </w:rPr>
        <w:t>atcelti</w:t>
      </w:r>
      <w:r>
        <w:rPr>
          <w:rFonts w:ascii="Times New Roman" w:hAnsi="Times New Roman" w:cs="Times New Roman"/>
          <w:color w:val="000000"/>
          <w:sz w:val="24"/>
          <w:szCs w:val="24"/>
        </w:rPr>
        <w:t xml:space="preserve"> </w:t>
      </w:r>
      <w:r w:rsidR="005C7C99">
        <w:rPr>
          <w:rFonts w:ascii="Times New Roman" w:hAnsi="Times New Roman" w:cs="Times New Roman"/>
          <w:color w:val="000000"/>
          <w:sz w:val="24"/>
          <w:szCs w:val="24"/>
        </w:rPr>
        <w:t>un ir stājušies spēkā 201</w:t>
      </w:r>
      <w:r w:rsidR="00F65D4B">
        <w:rPr>
          <w:rFonts w:ascii="Times New Roman" w:hAnsi="Times New Roman" w:cs="Times New Roman"/>
          <w:color w:val="000000"/>
          <w:sz w:val="24"/>
          <w:szCs w:val="24"/>
        </w:rPr>
        <w:t>7</w:t>
      </w:r>
      <w:r w:rsidR="005C7C99">
        <w:rPr>
          <w:rFonts w:ascii="Times New Roman" w:hAnsi="Times New Roman" w:cs="Times New Roman"/>
          <w:color w:val="000000"/>
          <w:sz w:val="24"/>
          <w:szCs w:val="24"/>
        </w:rPr>
        <w:t>.gadā</w:t>
      </w:r>
      <w:r>
        <w:rPr>
          <w:rFonts w:ascii="Times New Roman" w:hAnsi="Times New Roman" w:cs="Times New Roman"/>
          <w:color w:val="000000"/>
          <w:sz w:val="24"/>
          <w:szCs w:val="24"/>
        </w:rPr>
        <w:t>,</w:t>
      </w:r>
      <w:r w:rsidR="005C7C99">
        <w:rPr>
          <w:rFonts w:ascii="Times New Roman" w:hAnsi="Times New Roman" w:cs="Times New Roman"/>
          <w:color w:val="000000"/>
          <w:sz w:val="24"/>
          <w:szCs w:val="24"/>
        </w:rPr>
        <w:t xml:space="preserve"> ir </w:t>
      </w:r>
      <w:r w:rsidR="00F65D4B">
        <w:rPr>
          <w:rFonts w:ascii="Times New Roman" w:hAnsi="Times New Roman" w:cs="Times New Roman"/>
          <w:color w:val="000000"/>
          <w:sz w:val="24"/>
          <w:szCs w:val="24"/>
        </w:rPr>
        <w:t>100</w:t>
      </w:r>
      <w:r w:rsidR="005C7C99">
        <w:rPr>
          <w:rFonts w:ascii="Times New Roman" w:hAnsi="Times New Roman" w:cs="Times New Roman"/>
          <w:color w:val="000000"/>
          <w:sz w:val="24"/>
          <w:szCs w:val="24"/>
        </w:rPr>
        <w:t>% (</w:t>
      </w:r>
      <w:r w:rsidR="00F65D4B">
        <w:rPr>
          <w:rFonts w:ascii="Times New Roman" w:hAnsi="Times New Roman" w:cs="Times New Roman"/>
          <w:color w:val="000000"/>
          <w:sz w:val="24"/>
          <w:szCs w:val="24"/>
        </w:rPr>
        <w:t>vienā gadījumā ir grozīts naudas soda apmērs, to samazinot</w:t>
      </w:r>
      <w:r w:rsidR="005C7C99">
        <w:rPr>
          <w:rFonts w:ascii="Times New Roman" w:hAnsi="Times New Roman" w:cs="Times New Roman"/>
          <w:color w:val="000000"/>
          <w:sz w:val="24"/>
          <w:szCs w:val="24"/>
        </w:rPr>
        <w:t xml:space="preserve">). </w:t>
      </w:r>
    </w:p>
    <w:p w:rsidR="00BD4E6C" w:rsidRPr="00BD4E6C" w:rsidRDefault="005C7C99" w:rsidP="006C79D7">
      <w:pPr>
        <w:spacing w:after="0"/>
        <w:ind w:firstLine="709"/>
        <w:jc w:val="both"/>
        <w:rPr>
          <w:rFonts w:ascii="Times New Roman" w:hAnsi="Times New Roman" w:cs="Times New Roman"/>
          <w:color w:val="000000" w:themeColor="text1"/>
          <w:sz w:val="24"/>
          <w:szCs w:val="24"/>
        </w:rPr>
      </w:pPr>
      <w:r w:rsidRPr="00BD4E6C">
        <w:rPr>
          <w:rFonts w:ascii="Times New Roman" w:hAnsi="Times New Roman" w:cs="Times New Roman"/>
          <w:color w:val="000000" w:themeColor="text1"/>
          <w:sz w:val="24"/>
          <w:szCs w:val="24"/>
        </w:rPr>
        <w:t xml:space="preserve">Izpildot </w:t>
      </w:r>
      <w:r w:rsidR="00F65D4B" w:rsidRPr="00BD4E6C">
        <w:rPr>
          <w:rFonts w:ascii="Times New Roman" w:hAnsi="Times New Roman" w:cs="Times New Roman"/>
          <w:color w:val="000000" w:themeColor="text1"/>
          <w:sz w:val="24"/>
          <w:szCs w:val="24"/>
        </w:rPr>
        <w:t>Interešu konflikta likuma</w:t>
      </w:r>
      <w:r w:rsidRPr="00BD4E6C">
        <w:rPr>
          <w:rFonts w:ascii="Times New Roman" w:hAnsi="Times New Roman" w:cs="Times New Roman"/>
          <w:color w:val="000000" w:themeColor="text1"/>
          <w:sz w:val="24"/>
          <w:szCs w:val="24"/>
        </w:rPr>
        <w:t xml:space="preserve"> 31.pantā noteikto pienākumu informēt sabiedrību par amatpersonām</w:t>
      </w:r>
      <w:r w:rsidR="00BD4E6C" w:rsidRPr="00BD4E6C">
        <w:rPr>
          <w:rFonts w:ascii="Times New Roman" w:hAnsi="Times New Roman" w:cs="Times New Roman"/>
          <w:color w:val="000000" w:themeColor="text1"/>
          <w:sz w:val="24"/>
          <w:szCs w:val="24"/>
        </w:rPr>
        <w:t>,</w:t>
      </w:r>
      <w:r w:rsidRPr="00BD4E6C">
        <w:rPr>
          <w:rFonts w:ascii="Times New Roman" w:hAnsi="Times New Roman" w:cs="Times New Roman"/>
          <w:color w:val="000000" w:themeColor="text1"/>
          <w:sz w:val="24"/>
          <w:szCs w:val="24"/>
        </w:rPr>
        <w:t xml:space="preserve"> attiecībā uz kurām ir pieņemti lēmumi administratīvā pārkāpuma lietās, </w:t>
      </w:r>
      <w:r w:rsidR="00BD4E6C" w:rsidRPr="00BD4E6C">
        <w:rPr>
          <w:rFonts w:ascii="Times New Roman" w:hAnsi="Times New Roman" w:cs="Times New Roman"/>
          <w:color w:val="000000" w:themeColor="text1"/>
          <w:sz w:val="24"/>
          <w:szCs w:val="24"/>
        </w:rPr>
        <w:t>2017.gadā Biroja mājas lapā publiskota informāciju par 212 valsts amatpersonu darbībā konstatētajiem administratīvajiem pārkāpumiem.</w:t>
      </w:r>
    </w:p>
    <w:p w:rsidR="005C7C99" w:rsidRDefault="005C7C99" w:rsidP="006C79D7">
      <w:pPr>
        <w:spacing w:after="0"/>
        <w:ind w:firstLine="567"/>
        <w:jc w:val="both"/>
        <w:rPr>
          <w:rFonts w:ascii="Times New Roman" w:hAnsi="Times New Roman" w:cs="Times New Roman"/>
          <w:sz w:val="24"/>
          <w:szCs w:val="24"/>
        </w:rPr>
      </w:pPr>
    </w:p>
    <w:p w:rsidR="005C7C99" w:rsidRPr="00F24C19" w:rsidRDefault="0052015E" w:rsidP="009060F2">
      <w:pPr>
        <w:pStyle w:val="Heading2"/>
        <w:spacing w:before="0"/>
        <w:rPr>
          <w:sz w:val="28"/>
          <w:szCs w:val="28"/>
        </w:rPr>
      </w:pPr>
      <w:bookmarkStart w:id="50" w:name="_Toc474219921"/>
      <w:bookmarkStart w:id="51" w:name="_Toc474220925"/>
      <w:bookmarkStart w:id="52" w:name="_Toc474410932"/>
      <w:bookmarkStart w:id="53" w:name="_Toc505249170"/>
      <w:r w:rsidRPr="00F24C19">
        <w:rPr>
          <w:sz w:val="28"/>
          <w:szCs w:val="28"/>
        </w:rPr>
        <w:lastRenderedPageBreak/>
        <w:t>3. </w:t>
      </w:r>
      <w:r w:rsidR="005C7C99" w:rsidRPr="00F24C19">
        <w:rPr>
          <w:sz w:val="28"/>
          <w:szCs w:val="28"/>
        </w:rPr>
        <w:t>Biroja darbības rezultāti korupcijas apkarošan</w:t>
      </w:r>
      <w:bookmarkEnd w:id="49"/>
      <w:bookmarkEnd w:id="50"/>
      <w:bookmarkEnd w:id="51"/>
      <w:bookmarkEnd w:id="52"/>
      <w:r w:rsidR="005C7C99" w:rsidRPr="00F24C19">
        <w:rPr>
          <w:sz w:val="28"/>
          <w:szCs w:val="28"/>
        </w:rPr>
        <w:t>ā</w:t>
      </w:r>
      <w:bookmarkEnd w:id="53"/>
    </w:p>
    <w:p w:rsidR="005C7C99" w:rsidRPr="00C41916" w:rsidRDefault="005C7C99" w:rsidP="006C79D7">
      <w:pPr>
        <w:pStyle w:val="Default"/>
        <w:spacing w:line="276" w:lineRule="auto"/>
        <w:ind w:firstLine="567"/>
        <w:jc w:val="both"/>
        <w:rPr>
          <w:color w:val="auto"/>
        </w:rPr>
      </w:pPr>
    </w:p>
    <w:p w:rsidR="00CD034E" w:rsidRDefault="005C7C99" w:rsidP="006C79D7">
      <w:pPr>
        <w:pStyle w:val="Default"/>
        <w:spacing w:line="276" w:lineRule="auto"/>
        <w:ind w:firstLine="709"/>
        <w:jc w:val="both"/>
        <w:rPr>
          <w:color w:val="auto"/>
        </w:rPr>
      </w:pPr>
      <w:r w:rsidRPr="00C41916">
        <w:rPr>
          <w:color w:val="auto"/>
        </w:rPr>
        <w:t>Birojā 201</w:t>
      </w:r>
      <w:r w:rsidR="00504785">
        <w:rPr>
          <w:color w:val="auto"/>
        </w:rPr>
        <w:t>7</w:t>
      </w:r>
      <w:r w:rsidRPr="00C41916">
        <w:rPr>
          <w:color w:val="auto"/>
        </w:rPr>
        <w:t xml:space="preserve">.gadā uzsākti </w:t>
      </w:r>
      <w:r w:rsidR="00C04961">
        <w:rPr>
          <w:color w:val="auto"/>
        </w:rPr>
        <w:t>30</w:t>
      </w:r>
      <w:r w:rsidRPr="00C41916">
        <w:rPr>
          <w:color w:val="auto"/>
        </w:rPr>
        <w:t xml:space="preserve"> kriminālprocesi.</w:t>
      </w:r>
      <w:r>
        <w:rPr>
          <w:color w:val="auto"/>
        </w:rPr>
        <w:t xml:space="preserve"> Gada p</w:t>
      </w:r>
      <w:r w:rsidRPr="00C41916">
        <w:rPr>
          <w:color w:val="auto"/>
        </w:rPr>
        <w:t xml:space="preserve">irmajā pusgadā </w:t>
      </w:r>
      <w:r w:rsidR="00CD034E">
        <w:rPr>
          <w:color w:val="auto"/>
        </w:rPr>
        <w:t>Birojs uzsāka</w:t>
      </w:r>
      <w:r w:rsidRPr="00C41916">
        <w:rPr>
          <w:color w:val="auto"/>
        </w:rPr>
        <w:t xml:space="preserve"> 1</w:t>
      </w:r>
      <w:r w:rsidR="00C04961">
        <w:rPr>
          <w:color w:val="auto"/>
        </w:rPr>
        <w:t>6</w:t>
      </w:r>
      <w:r w:rsidRPr="00C41916">
        <w:rPr>
          <w:color w:val="auto"/>
        </w:rPr>
        <w:t xml:space="preserve"> kriminālproces</w:t>
      </w:r>
      <w:r w:rsidR="00CD034E">
        <w:rPr>
          <w:color w:val="auto"/>
        </w:rPr>
        <w:t>us</w:t>
      </w:r>
      <w:r w:rsidRPr="00C41916">
        <w:rPr>
          <w:color w:val="auto"/>
        </w:rPr>
        <w:t xml:space="preserve">, </w:t>
      </w:r>
      <w:r w:rsidR="00CD034E">
        <w:rPr>
          <w:color w:val="auto"/>
        </w:rPr>
        <w:t xml:space="preserve">attiecīgi otrajā pusgadā – 14 kriminālprocesus. No pārskata periodā Birojā uzsāktajiem kriminālprocesiem 11 ir uzsākti, pamatojoties uz Operatīvo izstrāžu nodaļas sniegto informāciju. </w:t>
      </w:r>
    </w:p>
    <w:p w:rsidR="005C7C99" w:rsidRPr="00C41916" w:rsidRDefault="005C7C99" w:rsidP="006C79D7">
      <w:pPr>
        <w:pStyle w:val="Default"/>
        <w:spacing w:line="276" w:lineRule="auto"/>
        <w:ind w:firstLine="709"/>
        <w:jc w:val="both"/>
        <w:rPr>
          <w:color w:val="auto"/>
        </w:rPr>
      </w:pPr>
      <w:r w:rsidRPr="00C41916">
        <w:rPr>
          <w:color w:val="auto"/>
        </w:rPr>
        <w:t xml:space="preserve">Izmeklējot </w:t>
      </w:r>
      <w:proofErr w:type="spellStart"/>
      <w:r w:rsidRPr="00C41916">
        <w:rPr>
          <w:color w:val="auto"/>
        </w:rPr>
        <w:t>koruptīvus</w:t>
      </w:r>
      <w:proofErr w:type="spellEnd"/>
      <w:r w:rsidRPr="00C41916">
        <w:rPr>
          <w:color w:val="auto"/>
        </w:rPr>
        <w:t xml:space="preserve"> noziedzīgus nodarījumus, 201</w:t>
      </w:r>
      <w:r w:rsidR="00C04961">
        <w:rPr>
          <w:color w:val="auto"/>
        </w:rPr>
        <w:t>7</w:t>
      </w:r>
      <w:r w:rsidRPr="00C41916">
        <w:rPr>
          <w:color w:val="auto"/>
        </w:rPr>
        <w:t xml:space="preserve">.gadā kriminālvajāšanai prokuratūras iestādēm </w:t>
      </w:r>
      <w:r>
        <w:rPr>
          <w:color w:val="auto"/>
        </w:rPr>
        <w:t xml:space="preserve">kopā </w:t>
      </w:r>
      <w:r w:rsidRPr="00C41916">
        <w:rPr>
          <w:color w:val="auto"/>
        </w:rPr>
        <w:t xml:space="preserve">nosūtīti </w:t>
      </w:r>
      <w:r w:rsidR="00C04961">
        <w:rPr>
          <w:color w:val="auto"/>
        </w:rPr>
        <w:t>17</w:t>
      </w:r>
      <w:r w:rsidRPr="00C41916">
        <w:rPr>
          <w:color w:val="auto"/>
        </w:rPr>
        <w:t xml:space="preserve"> kriminālprocesi pret </w:t>
      </w:r>
      <w:r w:rsidR="00C04961">
        <w:rPr>
          <w:color w:val="auto"/>
        </w:rPr>
        <w:t>41 personu</w:t>
      </w:r>
      <w:r>
        <w:rPr>
          <w:color w:val="auto"/>
        </w:rPr>
        <w:t xml:space="preserve">, savukārt </w:t>
      </w:r>
      <w:r w:rsidR="00C04961">
        <w:rPr>
          <w:color w:val="auto"/>
        </w:rPr>
        <w:t>10</w:t>
      </w:r>
      <w:r w:rsidRPr="00C41916">
        <w:rPr>
          <w:color w:val="auto"/>
        </w:rPr>
        <w:t xml:space="preserve"> kriminālprocesos pieņemti lēmumi par kriminālproces</w:t>
      </w:r>
      <w:r w:rsidR="0095516E">
        <w:rPr>
          <w:color w:val="auto"/>
        </w:rPr>
        <w:t>a</w:t>
      </w:r>
      <w:r w:rsidRPr="00C41916">
        <w:rPr>
          <w:color w:val="auto"/>
        </w:rPr>
        <w:t xml:space="preserve"> izbeigšanu.</w:t>
      </w:r>
    </w:p>
    <w:p w:rsidR="005C7C99" w:rsidRPr="00C41916" w:rsidRDefault="005C7C99" w:rsidP="006C79D7">
      <w:pPr>
        <w:pStyle w:val="Default"/>
        <w:spacing w:line="276" w:lineRule="auto"/>
        <w:ind w:firstLine="709"/>
        <w:jc w:val="both"/>
        <w:rPr>
          <w:color w:val="auto"/>
        </w:rPr>
      </w:pPr>
      <w:r w:rsidRPr="00C41916">
        <w:rPr>
          <w:color w:val="auto"/>
        </w:rPr>
        <w:t xml:space="preserve">Kriminālvajāšanas uzsākšanai nosūtīto kriminālprocesu un Birojā uzsākto kriminālprocesu skaits atspoguļots </w:t>
      </w:r>
      <w:r w:rsidR="00A77875">
        <w:rPr>
          <w:color w:val="auto"/>
        </w:rPr>
        <w:t>5</w:t>
      </w:r>
      <w:r w:rsidRPr="00C41916">
        <w:rPr>
          <w:color w:val="auto"/>
        </w:rPr>
        <w:t xml:space="preserve">.attēlā. </w:t>
      </w:r>
    </w:p>
    <w:p w:rsidR="005C7C99" w:rsidRPr="00C41916" w:rsidRDefault="00504785" w:rsidP="006C79D7">
      <w:pPr>
        <w:pStyle w:val="Default"/>
        <w:spacing w:before="240" w:line="276" w:lineRule="auto"/>
        <w:jc w:val="center"/>
        <w:rPr>
          <w:color w:val="auto"/>
        </w:rPr>
      </w:pPr>
      <w:r>
        <w:rPr>
          <w:noProof/>
          <w:lang w:eastAsia="lv-LV"/>
        </w:rPr>
        <w:drawing>
          <wp:inline distT="0" distB="0" distL="0" distR="0" wp14:anchorId="60D3EBD4" wp14:editId="3D0B1071">
            <wp:extent cx="5486400" cy="2999105"/>
            <wp:effectExtent l="0" t="0" r="1905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7C99" w:rsidRPr="00A46773" w:rsidRDefault="00A77875" w:rsidP="006C79D7">
      <w:pPr>
        <w:pStyle w:val="Default"/>
        <w:spacing w:line="276" w:lineRule="auto"/>
        <w:jc w:val="center"/>
        <w:rPr>
          <w:i/>
          <w:color w:val="auto"/>
          <w:sz w:val="22"/>
          <w:szCs w:val="22"/>
        </w:rPr>
      </w:pPr>
      <w:r w:rsidRPr="00A46773">
        <w:rPr>
          <w:i/>
          <w:color w:val="auto"/>
          <w:sz w:val="22"/>
          <w:szCs w:val="22"/>
        </w:rPr>
        <w:t>5</w:t>
      </w:r>
      <w:r w:rsidR="005C7C99" w:rsidRPr="00A46773">
        <w:rPr>
          <w:i/>
          <w:color w:val="auto"/>
          <w:sz w:val="22"/>
          <w:szCs w:val="22"/>
        </w:rPr>
        <w:t xml:space="preserve">.attēls. Kriminālvajāšanai nosūtīto lietu un personu skaits, </w:t>
      </w:r>
      <w:r w:rsidRPr="00A46773">
        <w:rPr>
          <w:i/>
          <w:color w:val="auto"/>
          <w:sz w:val="22"/>
          <w:szCs w:val="22"/>
        </w:rPr>
        <w:t>kā arī uzsāktie kriminālprocesi</w:t>
      </w:r>
    </w:p>
    <w:p w:rsidR="00C175ED" w:rsidRDefault="00C175ED" w:rsidP="006C79D7">
      <w:pPr>
        <w:spacing w:after="0"/>
        <w:ind w:firstLine="709"/>
        <w:jc w:val="both"/>
        <w:rPr>
          <w:rFonts w:ascii="Times New Roman" w:eastAsia="Times New Roman" w:hAnsi="Times New Roman" w:cs="Times New Roman"/>
          <w:color w:val="000000" w:themeColor="text1"/>
          <w:sz w:val="24"/>
          <w:szCs w:val="24"/>
          <w:lang w:eastAsia="lv-LV"/>
        </w:rPr>
      </w:pPr>
    </w:p>
    <w:p w:rsidR="005C7C99" w:rsidRPr="009C0D2C" w:rsidRDefault="00183323" w:rsidP="006C79D7">
      <w:pPr>
        <w:spacing w:after="0"/>
        <w:ind w:firstLine="709"/>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lang w:eastAsia="lv-LV"/>
        </w:rPr>
        <w:t>Pārskata periodā b</w:t>
      </w:r>
      <w:r w:rsidR="00347B23" w:rsidRPr="00183323">
        <w:rPr>
          <w:rFonts w:ascii="Times New Roman" w:eastAsia="Times New Roman" w:hAnsi="Times New Roman" w:cs="Times New Roman"/>
          <w:sz w:val="24"/>
          <w:szCs w:val="24"/>
          <w:lang w:eastAsia="lv-LV"/>
        </w:rPr>
        <w:t>ūtiskāk</w:t>
      </w:r>
      <w:r>
        <w:rPr>
          <w:rFonts w:ascii="Times New Roman" w:eastAsia="Times New Roman" w:hAnsi="Times New Roman" w:cs="Times New Roman"/>
          <w:sz w:val="24"/>
          <w:szCs w:val="24"/>
          <w:lang w:eastAsia="lv-LV"/>
        </w:rPr>
        <w:t>ās kriminālvajāšanai nosūtītās krimināllietas:</w:t>
      </w:r>
    </w:p>
    <w:p w:rsidR="00F31B70" w:rsidRDefault="007D495E"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sidRPr="007D495E">
        <w:rPr>
          <w:rFonts w:ascii="Times New Roman" w:eastAsia="Times New Roman" w:hAnsi="Times New Roman" w:cs="Times New Roman"/>
          <w:color w:val="000000" w:themeColor="text1"/>
          <w:sz w:val="24"/>
          <w:szCs w:val="24"/>
          <w:lang w:eastAsia="lv-LV"/>
        </w:rPr>
        <w:t xml:space="preserve">Birojs </w:t>
      </w:r>
      <w:r>
        <w:rPr>
          <w:rFonts w:ascii="Times New Roman" w:eastAsia="Times New Roman" w:hAnsi="Times New Roman" w:cs="Times New Roman"/>
          <w:color w:val="000000" w:themeColor="text1"/>
          <w:sz w:val="24"/>
          <w:szCs w:val="24"/>
          <w:lang w:eastAsia="lv-LV"/>
        </w:rPr>
        <w:t xml:space="preserve">nosūtīja krimināllietas materiālus kriminālvajāšanas uzsākšanai pret </w:t>
      </w:r>
      <w:r w:rsidRPr="007D495E">
        <w:rPr>
          <w:rFonts w:ascii="Times New Roman" w:eastAsia="Times New Roman" w:hAnsi="Times New Roman" w:cs="Times New Roman"/>
          <w:color w:val="000000" w:themeColor="text1"/>
          <w:sz w:val="24"/>
          <w:szCs w:val="24"/>
          <w:lang w:eastAsia="lv-LV"/>
        </w:rPr>
        <w:t xml:space="preserve">Neatliekamās </w:t>
      </w:r>
      <w:r>
        <w:rPr>
          <w:rFonts w:ascii="Times New Roman" w:eastAsia="Times New Roman" w:hAnsi="Times New Roman" w:cs="Times New Roman"/>
          <w:color w:val="000000" w:themeColor="text1"/>
          <w:sz w:val="24"/>
          <w:szCs w:val="24"/>
          <w:lang w:eastAsia="lv-LV"/>
        </w:rPr>
        <w:t xml:space="preserve">medicīniskās palīdzības dienesta </w:t>
      </w:r>
      <w:r w:rsidR="0077134E">
        <w:rPr>
          <w:rFonts w:ascii="Times New Roman" w:eastAsia="Times New Roman" w:hAnsi="Times New Roman" w:cs="Times New Roman"/>
          <w:color w:val="000000" w:themeColor="text1"/>
          <w:sz w:val="24"/>
          <w:szCs w:val="24"/>
          <w:lang w:eastAsia="lv-LV"/>
        </w:rPr>
        <w:t xml:space="preserve">valsts </w:t>
      </w:r>
      <w:r>
        <w:rPr>
          <w:rFonts w:ascii="Times New Roman" w:eastAsia="Times New Roman" w:hAnsi="Times New Roman" w:cs="Times New Roman"/>
          <w:color w:val="000000" w:themeColor="text1"/>
          <w:sz w:val="24"/>
          <w:szCs w:val="24"/>
          <w:lang w:eastAsia="lv-LV"/>
        </w:rPr>
        <w:t xml:space="preserve">amatpersonu </w:t>
      </w:r>
      <w:r w:rsidR="0077134E">
        <w:rPr>
          <w:rFonts w:ascii="Times New Roman" w:eastAsia="Times New Roman" w:hAnsi="Times New Roman" w:cs="Times New Roman"/>
          <w:color w:val="000000" w:themeColor="text1"/>
          <w:sz w:val="24"/>
          <w:szCs w:val="24"/>
          <w:lang w:eastAsia="lv-LV"/>
        </w:rPr>
        <w:t xml:space="preserve">par </w:t>
      </w:r>
      <w:r w:rsidR="0077134E" w:rsidRPr="0077134E">
        <w:rPr>
          <w:rFonts w:ascii="Times New Roman" w:eastAsia="Times New Roman" w:hAnsi="Times New Roman" w:cs="Times New Roman"/>
          <w:color w:val="000000" w:themeColor="text1"/>
          <w:sz w:val="24"/>
          <w:szCs w:val="24"/>
          <w:lang w:eastAsia="lv-LV"/>
        </w:rPr>
        <w:t>izdarītām tīšām darbībām, ļaunprātīg</w:t>
      </w:r>
      <w:r w:rsidR="0077134E">
        <w:rPr>
          <w:rFonts w:ascii="Times New Roman" w:eastAsia="Times New Roman" w:hAnsi="Times New Roman" w:cs="Times New Roman"/>
          <w:color w:val="000000" w:themeColor="text1"/>
          <w:sz w:val="24"/>
          <w:szCs w:val="24"/>
          <w:lang w:eastAsia="lv-LV"/>
        </w:rPr>
        <w:t>i izmantojot dienesta stāvokli, kā arī p</w:t>
      </w:r>
      <w:r w:rsidR="0077134E" w:rsidRPr="0077134E">
        <w:rPr>
          <w:rFonts w:ascii="Times New Roman" w:eastAsia="Times New Roman" w:hAnsi="Times New Roman" w:cs="Times New Roman"/>
          <w:color w:val="000000" w:themeColor="text1"/>
          <w:sz w:val="24"/>
          <w:szCs w:val="24"/>
          <w:lang w:eastAsia="lv-LV"/>
        </w:rPr>
        <w:t>ar valsts amatpersonas pienākumu nepildīšanu, ja ar to izraisītas smagas sekas</w:t>
      </w:r>
      <w:r w:rsidR="0077134E">
        <w:rPr>
          <w:rFonts w:ascii="Times New Roman" w:eastAsia="Times New Roman" w:hAnsi="Times New Roman" w:cs="Times New Roman"/>
          <w:color w:val="000000" w:themeColor="text1"/>
          <w:sz w:val="24"/>
          <w:szCs w:val="24"/>
          <w:lang w:eastAsia="lv-LV"/>
        </w:rPr>
        <w:t xml:space="preserve"> (valsts budžetam </w:t>
      </w:r>
      <w:r w:rsidR="00E55979">
        <w:rPr>
          <w:rFonts w:ascii="Times New Roman" w:eastAsia="Times New Roman" w:hAnsi="Times New Roman" w:cs="Times New Roman"/>
          <w:color w:val="000000" w:themeColor="text1"/>
          <w:sz w:val="24"/>
          <w:szCs w:val="24"/>
          <w:lang w:eastAsia="lv-LV"/>
        </w:rPr>
        <w:t>nodarīts mantisks zaudējums 1 </w:t>
      </w:r>
      <w:r w:rsidR="0077134E" w:rsidRPr="0077134E">
        <w:rPr>
          <w:rFonts w:ascii="Times New Roman" w:eastAsia="Times New Roman" w:hAnsi="Times New Roman" w:cs="Times New Roman"/>
          <w:color w:val="000000" w:themeColor="text1"/>
          <w:sz w:val="24"/>
          <w:szCs w:val="24"/>
          <w:lang w:eastAsia="lv-LV"/>
        </w:rPr>
        <w:t xml:space="preserve">268 062 </w:t>
      </w:r>
      <w:proofErr w:type="spellStart"/>
      <w:r w:rsidR="0077134E">
        <w:rPr>
          <w:rFonts w:ascii="Times New Roman" w:eastAsia="Times New Roman" w:hAnsi="Times New Roman" w:cs="Times New Roman"/>
          <w:i/>
          <w:color w:val="000000" w:themeColor="text1"/>
          <w:sz w:val="24"/>
          <w:szCs w:val="24"/>
          <w:lang w:eastAsia="lv-LV"/>
        </w:rPr>
        <w:t>euro</w:t>
      </w:r>
      <w:proofErr w:type="spellEnd"/>
      <w:r w:rsidR="0077134E" w:rsidRPr="0077134E">
        <w:rPr>
          <w:rFonts w:ascii="Times New Roman" w:eastAsia="Times New Roman" w:hAnsi="Times New Roman" w:cs="Times New Roman"/>
          <w:color w:val="000000" w:themeColor="text1"/>
          <w:sz w:val="24"/>
          <w:szCs w:val="24"/>
          <w:lang w:eastAsia="lv-LV"/>
        </w:rPr>
        <w:t xml:space="preserve"> apmērā</w:t>
      </w:r>
      <w:r w:rsidR="0077134E">
        <w:rPr>
          <w:rFonts w:ascii="Times New Roman" w:eastAsia="Times New Roman" w:hAnsi="Times New Roman" w:cs="Times New Roman"/>
          <w:color w:val="000000" w:themeColor="text1"/>
          <w:sz w:val="24"/>
          <w:szCs w:val="24"/>
          <w:lang w:eastAsia="lv-LV"/>
        </w:rPr>
        <w:t>) un p</w:t>
      </w:r>
      <w:r w:rsidR="0077134E" w:rsidRPr="0077134E">
        <w:rPr>
          <w:rFonts w:ascii="Times New Roman" w:eastAsia="Times New Roman" w:hAnsi="Times New Roman" w:cs="Times New Roman"/>
          <w:color w:val="000000" w:themeColor="text1"/>
          <w:sz w:val="24"/>
          <w:szCs w:val="24"/>
          <w:lang w:eastAsia="lv-LV"/>
        </w:rPr>
        <w:t>ar izvairīšanos no nodokļu vai tiem pielīdzināto maksājumu nomaksas vai par ienākumu, peļņas vai citu ar nodokli apliekamo objektu slēpšanu vai samazināšanu</w:t>
      </w:r>
      <w:r w:rsidR="0077134E">
        <w:rPr>
          <w:rFonts w:ascii="Times New Roman" w:eastAsia="Times New Roman" w:hAnsi="Times New Roman" w:cs="Times New Roman"/>
          <w:color w:val="000000" w:themeColor="text1"/>
          <w:sz w:val="24"/>
          <w:szCs w:val="24"/>
          <w:lang w:eastAsia="lv-LV"/>
        </w:rPr>
        <w:t xml:space="preserve">, </w:t>
      </w:r>
      <w:r w:rsidR="0077134E" w:rsidRPr="0077134E">
        <w:rPr>
          <w:rFonts w:ascii="Times New Roman" w:eastAsia="Times New Roman" w:hAnsi="Times New Roman" w:cs="Times New Roman"/>
          <w:color w:val="000000" w:themeColor="text1"/>
          <w:sz w:val="24"/>
          <w:szCs w:val="24"/>
          <w:lang w:eastAsia="lv-LV"/>
        </w:rPr>
        <w:t xml:space="preserve">nodarot </w:t>
      </w:r>
      <w:r w:rsidR="0077134E">
        <w:rPr>
          <w:rFonts w:ascii="Times New Roman" w:eastAsia="Times New Roman" w:hAnsi="Times New Roman" w:cs="Times New Roman"/>
          <w:color w:val="000000" w:themeColor="text1"/>
          <w:sz w:val="24"/>
          <w:szCs w:val="24"/>
          <w:lang w:eastAsia="lv-LV"/>
        </w:rPr>
        <w:t>zaudējumus</w:t>
      </w:r>
      <w:r w:rsidR="0077134E" w:rsidRPr="0077134E">
        <w:rPr>
          <w:rFonts w:ascii="Times New Roman" w:eastAsia="Times New Roman" w:hAnsi="Times New Roman" w:cs="Times New Roman"/>
          <w:color w:val="000000" w:themeColor="text1"/>
          <w:sz w:val="24"/>
          <w:szCs w:val="24"/>
          <w:lang w:eastAsia="lv-LV"/>
        </w:rPr>
        <w:t xml:space="preserve"> valsts budžetam 26 289,14 </w:t>
      </w:r>
      <w:proofErr w:type="spellStart"/>
      <w:r w:rsidR="0077134E">
        <w:rPr>
          <w:rFonts w:ascii="Times New Roman" w:eastAsia="Times New Roman" w:hAnsi="Times New Roman" w:cs="Times New Roman"/>
          <w:i/>
          <w:color w:val="000000" w:themeColor="text1"/>
          <w:sz w:val="24"/>
          <w:szCs w:val="24"/>
          <w:lang w:eastAsia="lv-LV"/>
        </w:rPr>
        <w:t>euro</w:t>
      </w:r>
      <w:proofErr w:type="spellEnd"/>
      <w:r w:rsidR="0077134E" w:rsidRPr="0077134E">
        <w:rPr>
          <w:rFonts w:ascii="Times New Roman" w:eastAsia="Times New Roman" w:hAnsi="Times New Roman" w:cs="Times New Roman"/>
          <w:color w:val="000000" w:themeColor="text1"/>
          <w:sz w:val="24"/>
          <w:szCs w:val="24"/>
          <w:lang w:eastAsia="lv-LV"/>
        </w:rPr>
        <w:t xml:space="preserve"> apmērā.</w:t>
      </w:r>
    </w:p>
    <w:p w:rsidR="00BF1444" w:rsidRPr="0056287F" w:rsidRDefault="00BF1444"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Birojs nosūtīja</w:t>
      </w:r>
      <w:r w:rsidRPr="0056287F">
        <w:rPr>
          <w:rFonts w:ascii="Times New Roman" w:eastAsia="Times New Roman" w:hAnsi="Times New Roman" w:cs="Times New Roman"/>
          <w:color w:val="000000" w:themeColor="text1"/>
          <w:sz w:val="24"/>
          <w:szCs w:val="24"/>
          <w:lang w:eastAsia="lv-LV"/>
        </w:rPr>
        <w:t xml:space="preserve"> krimināllietas materiālus Ģenerālprokuratūrai kriminālvajāšanas uzsākšanai par Rīgas pilsētas Kurzemes rajona tiesas priekšsēdētājas un kādas privātpersonas prettiesisku rīcību. Krimināllietā iegūtie pierādījumi norād</w:t>
      </w:r>
      <w:r>
        <w:rPr>
          <w:rFonts w:ascii="Times New Roman" w:eastAsia="Times New Roman" w:hAnsi="Times New Roman" w:cs="Times New Roman"/>
          <w:color w:val="000000" w:themeColor="text1"/>
          <w:sz w:val="24"/>
          <w:szCs w:val="24"/>
          <w:lang w:eastAsia="lv-LV"/>
        </w:rPr>
        <w:t>īja</w:t>
      </w:r>
      <w:r w:rsidRPr="0056287F">
        <w:rPr>
          <w:rFonts w:ascii="Times New Roman" w:eastAsia="Times New Roman" w:hAnsi="Times New Roman" w:cs="Times New Roman"/>
          <w:color w:val="000000" w:themeColor="text1"/>
          <w:sz w:val="24"/>
          <w:szCs w:val="24"/>
          <w:lang w:eastAsia="lv-LV"/>
        </w:rPr>
        <w:t xml:space="preserve"> uz Rīgas pilsētas Kurzemes rajona tiesas priekšsēdētājas prettiesisku rīcību − neizpaužamu ziņu, kas nav valsts noslēpums, izpaušanu plaš</w:t>
      </w:r>
      <w:r w:rsidR="00183323">
        <w:rPr>
          <w:rFonts w:ascii="Times New Roman" w:eastAsia="Times New Roman" w:hAnsi="Times New Roman" w:cs="Times New Roman"/>
          <w:color w:val="000000" w:themeColor="text1"/>
          <w:sz w:val="24"/>
          <w:szCs w:val="24"/>
          <w:lang w:eastAsia="lv-LV"/>
        </w:rPr>
        <w:t>saziņas līdzekļa</w:t>
      </w:r>
      <w:r w:rsidRPr="0056287F">
        <w:rPr>
          <w:rFonts w:ascii="Times New Roman" w:eastAsia="Times New Roman" w:hAnsi="Times New Roman" w:cs="Times New Roman"/>
          <w:color w:val="000000" w:themeColor="text1"/>
          <w:sz w:val="24"/>
          <w:szCs w:val="24"/>
          <w:lang w:eastAsia="lv-LV"/>
        </w:rPr>
        <w:t xml:space="preserve"> pārstāvim</w:t>
      </w:r>
      <w:r>
        <w:rPr>
          <w:rFonts w:ascii="Times New Roman" w:eastAsia="Times New Roman" w:hAnsi="Times New Roman" w:cs="Times New Roman"/>
          <w:color w:val="000000" w:themeColor="text1"/>
          <w:sz w:val="24"/>
          <w:szCs w:val="24"/>
          <w:lang w:eastAsia="lv-LV"/>
        </w:rPr>
        <w:t>.</w:t>
      </w:r>
    </w:p>
    <w:p w:rsidR="00BF1444" w:rsidRPr="0056287F" w:rsidRDefault="00BF1444"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sidRPr="0056287F">
        <w:rPr>
          <w:rFonts w:ascii="Times New Roman" w:eastAsia="Times New Roman" w:hAnsi="Times New Roman" w:cs="Times New Roman"/>
          <w:color w:val="000000" w:themeColor="text1"/>
          <w:sz w:val="24"/>
          <w:szCs w:val="24"/>
          <w:lang w:eastAsia="lv-LV"/>
        </w:rPr>
        <w:t>Birojs nosūtīj</w:t>
      </w:r>
      <w:r>
        <w:rPr>
          <w:rFonts w:ascii="Times New Roman" w:eastAsia="Times New Roman" w:hAnsi="Times New Roman" w:cs="Times New Roman"/>
          <w:color w:val="000000" w:themeColor="text1"/>
          <w:sz w:val="24"/>
          <w:szCs w:val="24"/>
          <w:lang w:eastAsia="lv-LV"/>
        </w:rPr>
        <w:t>a</w:t>
      </w:r>
      <w:r w:rsidRPr="0056287F">
        <w:rPr>
          <w:rFonts w:ascii="Times New Roman" w:eastAsia="Times New Roman" w:hAnsi="Times New Roman" w:cs="Times New Roman"/>
          <w:color w:val="000000" w:themeColor="text1"/>
          <w:sz w:val="24"/>
          <w:szCs w:val="24"/>
          <w:lang w:eastAsia="lv-LV"/>
        </w:rPr>
        <w:t xml:space="preserve"> prokuratūrai krimināllietas materiālus, rosinot uzsākt kriminālvajāšanu pret piecām personām, no kurām divas ir valsts amatpersonas. Biroja </w:t>
      </w:r>
      <w:r>
        <w:rPr>
          <w:rFonts w:ascii="Times New Roman" w:eastAsia="Times New Roman" w:hAnsi="Times New Roman" w:cs="Times New Roman"/>
          <w:color w:val="000000" w:themeColor="text1"/>
          <w:sz w:val="24"/>
          <w:szCs w:val="24"/>
          <w:lang w:eastAsia="lv-LV"/>
        </w:rPr>
        <w:t>rīcībā esošie pierādījumi norādīja</w:t>
      </w:r>
      <w:r w:rsidRPr="0056287F">
        <w:rPr>
          <w:rFonts w:ascii="Times New Roman" w:eastAsia="Times New Roman" w:hAnsi="Times New Roman" w:cs="Times New Roman"/>
          <w:color w:val="000000" w:themeColor="text1"/>
          <w:sz w:val="24"/>
          <w:szCs w:val="24"/>
          <w:lang w:eastAsia="lv-LV"/>
        </w:rPr>
        <w:t xml:space="preserve">, ka Rīgas pašvaldības akciju sabiedrības “Rīgas Centrāltirgus” </w:t>
      </w:r>
      <w:r w:rsidRPr="0056287F">
        <w:rPr>
          <w:rFonts w:ascii="Times New Roman" w:eastAsia="Times New Roman" w:hAnsi="Times New Roman" w:cs="Times New Roman"/>
          <w:color w:val="000000" w:themeColor="text1"/>
          <w:sz w:val="24"/>
          <w:szCs w:val="24"/>
          <w:lang w:eastAsia="lv-LV"/>
        </w:rPr>
        <w:lastRenderedPageBreak/>
        <w:t xml:space="preserve">valdes priekšsēdētājs veica prettiesiskas darbības, organizējot piesavināšanos lielā apmērā, kapitālsabiedrības darbinieks (valsts amatpersona) atbalstīja valdes priekšsēdētāja organizēto piesavināšanos, savukārt trīs darbinieki piesavinājās kapitālsabiedrības naudas līdzekļus lielos apmēros, kas viņu rīcībā nonāca veicot savus darba pienākumus, turpinājumā </w:t>
      </w:r>
      <w:r>
        <w:rPr>
          <w:rFonts w:ascii="Times New Roman" w:eastAsia="Times New Roman" w:hAnsi="Times New Roman" w:cs="Times New Roman"/>
          <w:color w:val="000000" w:themeColor="text1"/>
          <w:sz w:val="24"/>
          <w:szCs w:val="24"/>
          <w:lang w:eastAsia="lv-LV"/>
        </w:rPr>
        <w:t xml:space="preserve">naudas līdzekļus </w:t>
      </w:r>
      <w:r w:rsidRPr="0056287F">
        <w:rPr>
          <w:rFonts w:ascii="Times New Roman" w:eastAsia="Times New Roman" w:hAnsi="Times New Roman" w:cs="Times New Roman"/>
          <w:color w:val="000000" w:themeColor="text1"/>
          <w:sz w:val="24"/>
          <w:szCs w:val="24"/>
          <w:lang w:eastAsia="lv-LV"/>
        </w:rPr>
        <w:t>nododot vadībai.</w:t>
      </w:r>
    </w:p>
    <w:p w:rsidR="00F31B70" w:rsidRDefault="008437AF"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Birojs nosūtīja krimināllietas materiālus kriminālvajāšanas uzsākšanai pret </w:t>
      </w:r>
      <w:r w:rsidR="00D07448">
        <w:rPr>
          <w:rFonts w:ascii="Times New Roman" w:eastAsia="Times New Roman" w:hAnsi="Times New Roman" w:cs="Times New Roman"/>
          <w:color w:val="000000" w:themeColor="text1"/>
          <w:sz w:val="24"/>
          <w:szCs w:val="24"/>
          <w:lang w:eastAsia="lv-LV"/>
        </w:rPr>
        <w:t>vienu</w:t>
      </w:r>
      <w:r>
        <w:rPr>
          <w:rFonts w:ascii="Times New Roman" w:eastAsia="Times New Roman" w:hAnsi="Times New Roman" w:cs="Times New Roman"/>
          <w:color w:val="000000" w:themeColor="text1"/>
          <w:sz w:val="24"/>
          <w:szCs w:val="24"/>
          <w:lang w:eastAsia="lv-LV"/>
        </w:rPr>
        <w:t xml:space="preserve"> person</w:t>
      </w:r>
      <w:r w:rsidR="00D07448">
        <w:rPr>
          <w:rFonts w:ascii="Times New Roman" w:eastAsia="Times New Roman" w:hAnsi="Times New Roman" w:cs="Times New Roman"/>
          <w:color w:val="000000" w:themeColor="text1"/>
          <w:sz w:val="24"/>
          <w:szCs w:val="24"/>
          <w:lang w:eastAsia="lv-LV"/>
        </w:rPr>
        <w:t xml:space="preserve">u par neatļauta labuma (100 000 </w:t>
      </w:r>
      <w:proofErr w:type="spellStart"/>
      <w:r w:rsidR="007D495E">
        <w:rPr>
          <w:rFonts w:ascii="Times New Roman" w:eastAsia="Times New Roman" w:hAnsi="Times New Roman" w:cs="Times New Roman"/>
          <w:i/>
          <w:color w:val="000000" w:themeColor="text1"/>
          <w:sz w:val="24"/>
          <w:szCs w:val="24"/>
          <w:lang w:eastAsia="lv-LV"/>
        </w:rPr>
        <w:t>euro</w:t>
      </w:r>
      <w:proofErr w:type="spellEnd"/>
      <w:r w:rsidR="00D07448">
        <w:rPr>
          <w:rFonts w:ascii="Times New Roman" w:eastAsia="Times New Roman" w:hAnsi="Times New Roman" w:cs="Times New Roman"/>
          <w:color w:val="000000" w:themeColor="text1"/>
          <w:sz w:val="24"/>
          <w:szCs w:val="24"/>
          <w:lang w:eastAsia="lv-LV"/>
        </w:rPr>
        <w:t>) pieņemšanu, ko izdarījis uzņēmuma atbildīgais darbinieks, lai neliktu šķēršļus, veicot būvuzraudzību, par uzkūdīšanu veikt dokumentu viltošanu un viltot</w:t>
      </w:r>
      <w:r w:rsidR="00464F0F">
        <w:rPr>
          <w:rFonts w:ascii="Times New Roman" w:eastAsia="Times New Roman" w:hAnsi="Times New Roman" w:cs="Times New Roman"/>
          <w:color w:val="000000" w:themeColor="text1"/>
          <w:sz w:val="24"/>
          <w:szCs w:val="24"/>
          <w:lang w:eastAsia="lv-LV"/>
        </w:rPr>
        <w:t>u</w:t>
      </w:r>
      <w:r w:rsidR="00D07448">
        <w:rPr>
          <w:rFonts w:ascii="Times New Roman" w:eastAsia="Times New Roman" w:hAnsi="Times New Roman" w:cs="Times New Roman"/>
          <w:color w:val="000000" w:themeColor="text1"/>
          <w:sz w:val="24"/>
          <w:szCs w:val="24"/>
          <w:lang w:eastAsia="lv-LV"/>
        </w:rPr>
        <w:t xml:space="preserve"> dokument</w:t>
      </w:r>
      <w:r w:rsidR="00464F0F">
        <w:rPr>
          <w:rFonts w:ascii="Times New Roman" w:eastAsia="Times New Roman" w:hAnsi="Times New Roman" w:cs="Times New Roman"/>
          <w:color w:val="000000" w:themeColor="text1"/>
          <w:sz w:val="24"/>
          <w:szCs w:val="24"/>
          <w:lang w:eastAsia="lv-LV"/>
        </w:rPr>
        <w:t>u</w:t>
      </w:r>
      <w:r w:rsidR="00D07448">
        <w:rPr>
          <w:rFonts w:ascii="Times New Roman" w:eastAsia="Times New Roman" w:hAnsi="Times New Roman" w:cs="Times New Roman"/>
          <w:color w:val="000000" w:themeColor="text1"/>
          <w:sz w:val="24"/>
          <w:szCs w:val="24"/>
          <w:lang w:eastAsia="lv-LV"/>
        </w:rPr>
        <w:t xml:space="preserve"> izmantošanu mantkārīgā nolūkā, savukārt pret otru personu </w:t>
      </w:r>
      <w:r w:rsidR="007D495E">
        <w:rPr>
          <w:rFonts w:ascii="Times New Roman" w:eastAsia="Times New Roman" w:hAnsi="Times New Roman" w:cs="Times New Roman"/>
          <w:color w:val="000000" w:themeColor="text1"/>
          <w:sz w:val="24"/>
          <w:szCs w:val="24"/>
          <w:lang w:eastAsia="lv-LV"/>
        </w:rPr>
        <w:t xml:space="preserve">– </w:t>
      </w:r>
      <w:r w:rsidR="00D07448">
        <w:rPr>
          <w:rFonts w:ascii="Times New Roman" w:eastAsia="Times New Roman" w:hAnsi="Times New Roman" w:cs="Times New Roman"/>
          <w:color w:val="000000" w:themeColor="text1"/>
          <w:sz w:val="24"/>
          <w:szCs w:val="24"/>
          <w:lang w:eastAsia="lv-LV"/>
        </w:rPr>
        <w:t>par dokumentu viltošanu.</w:t>
      </w:r>
      <w:r w:rsidR="00F31B70" w:rsidRPr="00F31B70">
        <w:rPr>
          <w:rFonts w:ascii="Times New Roman" w:eastAsia="Times New Roman" w:hAnsi="Times New Roman" w:cs="Times New Roman"/>
          <w:color w:val="000000" w:themeColor="text1"/>
          <w:sz w:val="24"/>
          <w:szCs w:val="24"/>
          <w:lang w:eastAsia="lv-LV"/>
        </w:rPr>
        <w:t xml:space="preserve"> </w:t>
      </w:r>
    </w:p>
    <w:p w:rsidR="005B0FA2" w:rsidRDefault="005B0FA2"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Birojs nosūtīja krimināllietas materiālus kriminālvajāšanas uzsākšanai pret Talsu novada pašvaldības amatpersonu par valsts amatpersonas pienākumu nepildīšanu mantkārīgā no</w:t>
      </w:r>
      <w:r w:rsidR="00CD0931">
        <w:rPr>
          <w:rFonts w:ascii="Times New Roman" w:eastAsia="Times New Roman" w:hAnsi="Times New Roman" w:cs="Times New Roman"/>
          <w:color w:val="000000" w:themeColor="text1"/>
          <w:sz w:val="24"/>
          <w:szCs w:val="24"/>
          <w:lang w:eastAsia="lv-LV"/>
        </w:rPr>
        <w:t>lūkā, nodarot būtisku kaitējumu</w:t>
      </w:r>
      <w:r w:rsidR="00464F0F">
        <w:rPr>
          <w:rFonts w:ascii="Times New Roman" w:eastAsia="Times New Roman" w:hAnsi="Times New Roman" w:cs="Times New Roman"/>
          <w:color w:val="000000" w:themeColor="text1"/>
          <w:sz w:val="24"/>
          <w:szCs w:val="24"/>
          <w:lang w:eastAsia="lv-LV"/>
        </w:rPr>
        <w:t xml:space="preserve"> valsts pārvaldībai</w:t>
      </w:r>
      <w:r>
        <w:rPr>
          <w:rFonts w:ascii="Times New Roman" w:eastAsia="Times New Roman" w:hAnsi="Times New Roman" w:cs="Times New Roman"/>
          <w:color w:val="000000" w:themeColor="text1"/>
          <w:sz w:val="24"/>
          <w:szCs w:val="24"/>
          <w:lang w:eastAsia="lv-LV"/>
        </w:rPr>
        <w:t>, par krāpšanu, ja to izdarījusi personu grupa pēc iepriekšējas vienošanās, savukārt Talsu novada pašvaldības darbinieku – par krāpšanu, ja to izdarījusi personu grupa pēc iepriekšējas vienošanās. Biroja amatpersonas</w:t>
      </w:r>
      <w:r w:rsidRPr="00C112AC">
        <w:rPr>
          <w:rFonts w:ascii="Times New Roman" w:eastAsia="Times New Roman" w:hAnsi="Times New Roman" w:cs="Times New Roman"/>
          <w:color w:val="000000" w:themeColor="text1"/>
          <w:sz w:val="24"/>
          <w:szCs w:val="24"/>
          <w:lang w:eastAsia="lv-LV"/>
        </w:rPr>
        <w:t xml:space="preserve"> pirmstiesa</w:t>
      </w:r>
      <w:r w:rsidR="00CD0931">
        <w:rPr>
          <w:rFonts w:ascii="Times New Roman" w:eastAsia="Times New Roman" w:hAnsi="Times New Roman" w:cs="Times New Roman"/>
          <w:color w:val="000000" w:themeColor="text1"/>
          <w:sz w:val="24"/>
          <w:szCs w:val="24"/>
          <w:lang w:eastAsia="lv-LV"/>
        </w:rPr>
        <w:t xml:space="preserve">s izmeklēšanā </w:t>
      </w:r>
      <w:r>
        <w:rPr>
          <w:rFonts w:ascii="Times New Roman" w:eastAsia="Times New Roman" w:hAnsi="Times New Roman" w:cs="Times New Roman"/>
          <w:color w:val="000000" w:themeColor="text1"/>
          <w:sz w:val="24"/>
          <w:szCs w:val="24"/>
          <w:lang w:eastAsia="lv-LV"/>
        </w:rPr>
        <w:t>noskaidroja</w:t>
      </w:r>
      <w:r w:rsidRPr="00C112AC">
        <w:rPr>
          <w:rFonts w:ascii="Times New Roman" w:eastAsia="Times New Roman" w:hAnsi="Times New Roman" w:cs="Times New Roman"/>
          <w:color w:val="000000" w:themeColor="text1"/>
          <w:sz w:val="24"/>
          <w:szCs w:val="24"/>
          <w:lang w:eastAsia="lv-LV"/>
        </w:rPr>
        <w:t>, ka</w:t>
      </w:r>
      <w:r>
        <w:rPr>
          <w:rFonts w:ascii="Times New Roman" w:eastAsia="Times New Roman" w:hAnsi="Times New Roman" w:cs="Times New Roman"/>
          <w:color w:val="000000" w:themeColor="text1"/>
          <w:sz w:val="24"/>
          <w:szCs w:val="24"/>
          <w:lang w:eastAsia="lv-LV"/>
        </w:rPr>
        <w:t xml:space="preserve"> Talsu </w:t>
      </w:r>
      <w:r w:rsidR="00CD0931">
        <w:rPr>
          <w:rFonts w:ascii="Times New Roman" w:eastAsia="Times New Roman" w:hAnsi="Times New Roman" w:cs="Times New Roman"/>
          <w:color w:val="000000" w:themeColor="text1"/>
          <w:sz w:val="24"/>
          <w:szCs w:val="24"/>
          <w:lang w:eastAsia="lv-LV"/>
        </w:rPr>
        <w:t xml:space="preserve">novada </w:t>
      </w:r>
      <w:r>
        <w:rPr>
          <w:rFonts w:ascii="Times New Roman" w:eastAsia="Times New Roman" w:hAnsi="Times New Roman" w:cs="Times New Roman"/>
          <w:color w:val="000000" w:themeColor="text1"/>
          <w:sz w:val="24"/>
          <w:szCs w:val="24"/>
          <w:lang w:eastAsia="lv-LV"/>
        </w:rPr>
        <w:t xml:space="preserve">domes priekšsēdētājs, </w:t>
      </w:r>
      <w:r w:rsidR="00AF6270">
        <w:rPr>
          <w:rFonts w:ascii="Times New Roman" w:eastAsia="Times New Roman" w:hAnsi="Times New Roman" w:cs="Times New Roman"/>
          <w:color w:val="000000" w:themeColor="text1"/>
          <w:sz w:val="24"/>
          <w:szCs w:val="24"/>
          <w:lang w:eastAsia="lv-LV"/>
        </w:rPr>
        <w:t xml:space="preserve">iepriekš vienojoties ar </w:t>
      </w:r>
      <w:r w:rsidR="00464F0F">
        <w:rPr>
          <w:rFonts w:ascii="Times New Roman" w:eastAsia="Times New Roman" w:hAnsi="Times New Roman" w:cs="Times New Roman"/>
          <w:color w:val="000000" w:themeColor="text1"/>
          <w:sz w:val="24"/>
          <w:szCs w:val="24"/>
          <w:lang w:eastAsia="lv-LV"/>
        </w:rPr>
        <w:t xml:space="preserve">Talsu novada domes </w:t>
      </w:r>
      <w:r w:rsidR="00AF6270">
        <w:rPr>
          <w:rFonts w:ascii="Times New Roman" w:eastAsia="Times New Roman" w:hAnsi="Times New Roman" w:cs="Times New Roman"/>
          <w:color w:val="000000" w:themeColor="text1"/>
          <w:sz w:val="24"/>
          <w:szCs w:val="24"/>
          <w:lang w:eastAsia="lv-LV"/>
        </w:rPr>
        <w:t xml:space="preserve">darbinieku par viņa neattaisnotu prombūtni, apzinoties savu darbību prettiesiskumu, neziņoja par viņam zināmajiem apstākļiem, tādējādi nodarot zaudējumus Talsu novada pašvaldības budžetam vismaz 3040,50 </w:t>
      </w:r>
      <w:proofErr w:type="spellStart"/>
      <w:r w:rsidR="00AF6270">
        <w:rPr>
          <w:rFonts w:ascii="Times New Roman" w:eastAsia="Times New Roman" w:hAnsi="Times New Roman" w:cs="Times New Roman"/>
          <w:i/>
          <w:color w:val="000000" w:themeColor="text1"/>
          <w:sz w:val="24"/>
          <w:szCs w:val="24"/>
          <w:lang w:eastAsia="lv-LV"/>
        </w:rPr>
        <w:t>euro</w:t>
      </w:r>
      <w:proofErr w:type="spellEnd"/>
      <w:r w:rsidR="00AF6270" w:rsidRPr="00AF6270">
        <w:rPr>
          <w:rFonts w:ascii="Times New Roman" w:eastAsia="Times New Roman" w:hAnsi="Times New Roman" w:cs="Times New Roman"/>
          <w:color w:val="000000" w:themeColor="text1"/>
          <w:sz w:val="24"/>
          <w:szCs w:val="24"/>
          <w:lang w:eastAsia="lv-LV"/>
        </w:rPr>
        <w:t xml:space="preserve"> apmērā.</w:t>
      </w:r>
      <w:r w:rsidR="00464F0F">
        <w:rPr>
          <w:rFonts w:ascii="Times New Roman" w:eastAsia="Times New Roman" w:hAnsi="Times New Roman" w:cs="Times New Roman"/>
          <w:color w:val="000000" w:themeColor="text1"/>
          <w:sz w:val="24"/>
          <w:szCs w:val="24"/>
          <w:lang w:eastAsia="lv-LV"/>
        </w:rPr>
        <w:t xml:space="preserve"> </w:t>
      </w:r>
    </w:p>
    <w:p w:rsidR="00BF1444" w:rsidRDefault="00BF1444"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sidRPr="0056287F">
        <w:rPr>
          <w:rFonts w:ascii="Times New Roman" w:eastAsia="Times New Roman" w:hAnsi="Times New Roman" w:cs="Times New Roman"/>
          <w:color w:val="000000" w:themeColor="text1"/>
          <w:sz w:val="24"/>
          <w:szCs w:val="24"/>
          <w:lang w:eastAsia="lv-LV"/>
        </w:rPr>
        <w:t>Birojs nosūtīj</w:t>
      </w:r>
      <w:r>
        <w:rPr>
          <w:rFonts w:ascii="Times New Roman" w:eastAsia="Times New Roman" w:hAnsi="Times New Roman" w:cs="Times New Roman"/>
          <w:color w:val="000000" w:themeColor="text1"/>
          <w:sz w:val="24"/>
          <w:szCs w:val="24"/>
          <w:lang w:eastAsia="lv-LV"/>
        </w:rPr>
        <w:t>a</w:t>
      </w:r>
      <w:r w:rsidRPr="0056287F">
        <w:rPr>
          <w:rFonts w:ascii="Times New Roman" w:eastAsia="Times New Roman" w:hAnsi="Times New Roman" w:cs="Times New Roman"/>
          <w:color w:val="000000" w:themeColor="text1"/>
          <w:sz w:val="24"/>
          <w:szCs w:val="24"/>
          <w:lang w:eastAsia="lv-LV"/>
        </w:rPr>
        <w:t xml:space="preserve"> Ģenerālprokuratūrai krimināllietas materiālus, rosinot </w:t>
      </w:r>
      <w:r w:rsidR="00183323">
        <w:rPr>
          <w:rFonts w:ascii="Times New Roman" w:eastAsia="Times New Roman" w:hAnsi="Times New Roman" w:cs="Times New Roman"/>
          <w:color w:val="000000" w:themeColor="text1"/>
          <w:sz w:val="24"/>
          <w:szCs w:val="24"/>
          <w:lang w:eastAsia="lv-LV"/>
        </w:rPr>
        <w:t>uz</w:t>
      </w:r>
      <w:r w:rsidRPr="0056287F">
        <w:rPr>
          <w:rFonts w:ascii="Times New Roman" w:eastAsia="Times New Roman" w:hAnsi="Times New Roman" w:cs="Times New Roman"/>
          <w:color w:val="000000" w:themeColor="text1"/>
          <w:sz w:val="24"/>
          <w:szCs w:val="24"/>
          <w:lang w:eastAsia="lv-LV"/>
        </w:rPr>
        <w:t>sākt kriminālvajāšanu pret sešām personām par dokumentu viltošanu saistībā ar seguma atjaunošanu Rīgā, Krišjāņa Barona ielā. Krimināllietas ietvaros izmeklētājs lūdzis prokuroru piemērot arī piespiedu ietekmēšanas līdzekļus divām juridiskām personām, lai sauktu tās pie kriminālatbildības.</w:t>
      </w:r>
    </w:p>
    <w:p w:rsidR="00BF1444" w:rsidRPr="0056287F" w:rsidRDefault="00BF1444"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sidRPr="0056287F">
        <w:rPr>
          <w:rFonts w:ascii="Times New Roman" w:eastAsia="Times New Roman" w:hAnsi="Times New Roman" w:cs="Times New Roman"/>
          <w:color w:val="000000" w:themeColor="text1"/>
          <w:sz w:val="24"/>
          <w:szCs w:val="24"/>
          <w:lang w:eastAsia="lv-LV"/>
        </w:rPr>
        <w:t>Birojs nosūtīja krimināllietas materiālus kriminā</w:t>
      </w:r>
      <w:r>
        <w:rPr>
          <w:rFonts w:ascii="Times New Roman" w:eastAsia="Times New Roman" w:hAnsi="Times New Roman" w:cs="Times New Roman"/>
          <w:color w:val="000000" w:themeColor="text1"/>
          <w:sz w:val="24"/>
          <w:szCs w:val="24"/>
          <w:lang w:eastAsia="lv-LV"/>
        </w:rPr>
        <w:t>lvajāšanas uzsākšanai pret VSIA </w:t>
      </w:r>
      <w:r w:rsidRPr="0056287F">
        <w:rPr>
          <w:rFonts w:ascii="Times New Roman" w:eastAsia="Times New Roman" w:hAnsi="Times New Roman" w:cs="Times New Roman"/>
          <w:color w:val="000000" w:themeColor="text1"/>
          <w:sz w:val="24"/>
          <w:szCs w:val="24"/>
          <w:lang w:eastAsia="lv-LV"/>
        </w:rPr>
        <w:t xml:space="preserve">“Paula Stradiņa Klīniskā universitātes slimnīca” darbiniekiem par prettiesisku labumu (5000 </w:t>
      </w:r>
      <w:proofErr w:type="spellStart"/>
      <w:r w:rsidRPr="0056287F">
        <w:rPr>
          <w:rFonts w:ascii="Times New Roman" w:eastAsia="Times New Roman" w:hAnsi="Times New Roman" w:cs="Times New Roman"/>
          <w:i/>
          <w:color w:val="000000" w:themeColor="text1"/>
          <w:sz w:val="24"/>
          <w:szCs w:val="24"/>
          <w:lang w:eastAsia="lv-LV"/>
        </w:rPr>
        <w:t>euro</w:t>
      </w:r>
      <w:proofErr w:type="spellEnd"/>
      <w:r w:rsidRPr="0056287F">
        <w:rPr>
          <w:rFonts w:ascii="Times New Roman" w:eastAsia="Times New Roman" w:hAnsi="Times New Roman" w:cs="Times New Roman"/>
          <w:color w:val="000000" w:themeColor="text1"/>
          <w:sz w:val="24"/>
          <w:szCs w:val="24"/>
          <w:lang w:eastAsia="lv-LV"/>
        </w:rPr>
        <w:t>) pieprasīšanu un pieņemšanu, kā arī dokumentu viltošanu.</w:t>
      </w:r>
    </w:p>
    <w:p w:rsidR="00BF1444" w:rsidRDefault="00BF1444"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Birojs nosūtīja</w:t>
      </w:r>
      <w:r w:rsidRPr="0056287F">
        <w:rPr>
          <w:rFonts w:ascii="Times New Roman" w:eastAsia="Times New Roman" w:hAnsi="Times New Roman" w:cs="Times New Roman"/>
          <w:color w:val="000000" w:themeColor="text1"/>
          <w:sz w:val="24"/>
          <w:szCs w:val="24"/>
          <w:lang w:eastAsia="lv-LV"/>
        </w:rPr>
        <w:t xml:space="preserve"> Rīgas pilsētas Zemgales priekšpilsētas prokuratūrai krimināllietas materiālus, rosinot uzsākt kriminālvajāšanu pret personu par kukuļa (6450 </w:t>
      </w:r>
      <w:proofErr w:type="spellStart"/>
      <w:r w:rsidRPr="0056287F">
        <w:rPr>
          <w:rFonts w:ascii="Times New Roman" w:eastAsia="Times New Roman" w:hAnsi="Times New Roman" w:cs="Times New Roman"/>
          <w:i/>
          <w:color w:val="000000" w:themeColor="text1"/>
          <w:sz w:val="24"/>
          <w:szCs w:val="24"/>
          <w:lang w:eastAsia="lv-LV"/>
        </w:rPr>
        <w:t>euro</w:t>
      </w:r>
      <w:proofErr w:type="spellEnd"/>
      <w:r w:rsidRPr="0056287F">
        <w:rPr>
          <w:rFonts w:ascii="Times New Roman" w:eastAsia="Times New Roman" w:hAnsi="Times New Roman" w:cs="Times New Roman"/>
          <w:color w:val="000000" w:themeColor="text1"/>
          <w:sz w:val="24"/>
          <w:szCs w:val="24"/>
          <w:lang w:eastAsia="lv-LV"/>
        </w:rPr>
        <w:t>) piesavināšanos un par uzkūdīšanu kukuļa došanai</w:t>
      </w:r>
      <w:r>
        <w:rPr>
          <w:rFonts w:ascii="Times New Roman" w:eastAsia="Times New Roman" w:hAnsi="Times New Roman" w:cs="Times New Roman"/>
          <w:color w:val="000000" w:themeColor="text1"/>
          <w:sz w:val="24"/>
          <w:szCs w:val="24"/>
          <w:lang w:eastAsia="lv-LV"/>
        </w:rPr>
        <w:t>.</w:t>
      </w:r>
      <w:r w:rsidRPr="00C112AC">
        <w:t xml:space="preserve"> </w:t>
      </w:r>
      <w:r>
        <w:rPr>
          <w:rFonts w:ascii="Times New Roman" w:eastAsia="Times New Roman" w:hAnsi="Times New Roman" w:cs="Times New Roman"/>
          <w:color w:val="000000" w:themeColor="text1"/>
          <w:sz w:val="24"/>
          <w:szCs w:val="24"/>
          <w:lang w:eastAsia="lv-LV"/>
        </w:rPr>
        <w:t>Biroja amatpersonas</w:t>
      </w:r>
      <w:r w:rsidRPr="00C112AC">
        <w:rPr>
          <w:rFonts w:ascii="Times New Roman" w:eastAsia="Times New Roman" w:hAnsi="Times New Roman" w:cs="Times New Roman"/>
          <w:color w:val="000000" w:themeColor="text1"/>
          <w:sz w:val="24"/>
          <w:szCs w:val="24"/>
          <w:lang w:eastAsia="lv-LV"/>
        </w:rPr>
        <w:t xml:space="preserve"> pirmstiesa</w:t>
      </w:r>
      <w:r>
        <w:rPr>
          <w:rFonts w:ascii="Times New Roman" w:eastAsia="Times New Roman" w:hAnsi="Times New Roman" w:cs="Times New Roman"/>
          <w:color w:val="000000" w:themeColor="text1"/>
          <w:sz w:val="24"/>
          <w:szCs w:val="24"/>
          <w:lang w:eastAsia="lv-LV"/>
        </w:rPr>
        <w:t>s izmeklēšanas laikā noskaidroja</w:t>
      </w:r>
      <w:r w:rsidRPr="00C112AC">
        <w:rPr>
          <w:rFonts w:ascii="Times New Roman" w:eastAsia="Times New Roman" w:hAnsi="Times New Roman" w:cs="Times New Roman"/>
          <w:color w:val="000000" w:themeColor="text1"/>
          <w:sz w:val="24"/>
          <w:szCs w:val="24"/>
          <w:lang w:eastAsia="lv-LV"/>
        </w:rPr>
        <w:t>, ka persona, radot priekšstatu, ka ir pazīstam</w:t>
      </w:r>
      <w:r>
        <w:rPr>
          <w:rFonts w:ascii="Times New Roman" w:eastAsia="Times New Roman" w:hAnsi="Times New Roman" w:cs="Times New Roman"/>
          <w:color w:val="000000" w:themeColor="text1"/>
          <w:sz w:val="24"/>
          <w:szCs w:val="24"/>
          <w:lang w:eastAsia="lv-LV"/>
        </w:rPr>
        <w:t>a</w:t>
      </w:r>
      <w:r w:rsidRPr="00C112AC">
        <w:rPr>
          <w:rFonts w:ascii="Times New Roman" w:eastAsia="Times New Roman" w:hAnsi="Times New Roman" w:cs="Times New Roman"/>
          <w:color w:val="000000" w:themeColor="text1"/>
          <w:sz w:val="24"/>
          <w:szCs w:val="24"/>
          <w:lang w:eastAsia="lv-LV"/>
        </w:rPr>
        <w:t xml:space="preserve"> ar amatpersonām no Ceļu sati</w:t>
      </w:r>
      <w:r>
        <w:rPr>
          <w:rFonts w:ascii="Times New Roman" w:eastAsia="Times New Roman" w:hAnsi="Times New Roman" w:cs="Times New Roman"/>
          <w:color w:val="000000" w:themeColor="text1"/>
          <w:sz w:val="24"/>
          <w:szCs w:val="24"/>
          <w:lang w:eastAsia="lv-LV"/>
        </w:rPr>
        <w:t>ksmes drošības direkcijas</w:t>
      </w:r>
      <w:r w:rsidRPr="00C112AC">
        <w:rPr>
          <w:rFonts w:ascii="Times New Roman" w:eastAsia="Times New Roman" w:hAnsi="Times New Roman" w:cs="Times New Roman"/>
          <w:color w:val="000000" w:themeColor="text1"/>
          <w:sz w:val="24"/>
          <w:szCs w:val="24"/>
          <w:lang w:eastAsia="lv-LV"/>
        </w:rPr>
        <w:t>, mudināja dot kukuli tālākai nodošanai Ceļu sati</w:t>
      </w:r>
      <w:r>
        <w:rPr>
          <w:rFonts w:ascii="Times New Roman" w:eastAsia="Times New Roman" w:hAnsi="Times New Roman" w:cs="Times New Roman"/>
          <w:color w:val="000000" w:themeColor="text1"/>
          <w:sz w:val="24"/>
          <w:szCs w:val="24"/>
          <w:lang w:eastAsia="lv-LV"/>
        </w:rPr>
        <w:t>ksmes drošības direkcijas</w:t>
      </w:r>
      <w:r w:rsidRPr="00C112AC">
        <w:rPr>
          <w:rFonts w:ascii="Times New Roman" w:eastAsia="Times New Roman" w:hAnsi="Times New Roman" w:cs="Times New Roman"/>
          <w:color w:val="000000" w:themeColor="text1"/>
          <w:sz w:val="24"/>
          <w:szCs w:val="24"/>
          <w:lang w:eastAsia="lv-LV"/>
        </w:rPr>
        <w:t xml:space="preserve"> un Valsts policijas amatpersonām, lai tiktu atcelts piemērotais automašīnas vadīšanas tiesību aizliegums.</w:t>
      </w:r>
      <w:r>
        <w:rPr>
          <w:rFonts w:ascii="Times New Roman" w:eastAsia="Times New Roman" w:hAnsi="Times New Roman" w:cs="Times New Roman"/>
          <w:color w:val="000000" w:themeColor="text1"/>
          <w:sz w:val="24"/>
          <w:szCs w:val="24"/>
          <w:lang w:eastAsia="lv-LV"/>
        </w:rPr>
        <w:t xml:space="preserve"> </w:t>
      </w:r>
    </w:p>
    <w:p w:rsidR="009C0D2C" w:rsidRPr="0056287F" w:rsidRDefault="00CD0931" w:rsidP="005D37B9">
      <w:pPr>
        <w:pStyle w:val="ListParagraph"/>
        <w:numPr>
          <w:ilvl w:val="0"/>
          <w:numId w:val="1"/>
        </w:numPr>
        <w:tabs>
          <w:tab w:val="left" w:pos="993"/>
        </w:tabs>
        <w:spacing w:after="0"/>
        <w:ind w:left="0" w:firstLine="709"/>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Birojs </w:t>
      </w:r>
      <w:r w:rsidR="009C0D2C" w:rsidRPr="0056287F">
        <w:rPr>
          <w:rFonts w:ascii="Times New Roman" w:eastAsia="Times New Roman" w:hAnsi="Times New Roman" w:cs="Times New Roman"/>
          <w:color w:val="000000" w:themeColor="text1"/>
          <w:sz w:val="24"/>
          <w:szCs w:val="24"/>
          <w:lang w:eastAsia="lv-LV"/>
        </w:rPr>
        <w:t>Og</w:t>
      </w:r>
      <w:r>
        <w:rPr>
          <w:rFonts w:ascii="Times New Roman" w:eastAsia="Times New Roman" w:hAnsi="Times New Roman" w:cs="Times New Roman"/>
          <w:color w:val="000000" w:themeColor="text1"/>
          <w:sz w:val="24"/>
          <w:szCs w:val="24"/>
          <w:lang w:eastAsia="lv-LV"/>
        </w:rPr>
        <w:t>res rajona prokuratūrai nosūtīja</w:t>
      </w:r>
      <w:r w:rsidR="009C0D2C" w:rsidRPr="0056287F">
        <w:rPr>
          <w:rFonts w:ascii="Times New Roman" w:eastAsia="Times New Roman" w:hAnsi="Times New Roman" w:cs="Times New Roman"/>
          <w:color w:val="000000" w:themeColor="text1"/>
          <w:sz w:val="24"/>
          <w:szCs w:val="24"/>
          <w:lang w:eastAsia="lv-LV"/>
        </w:rPr>
        <w:t xml:space="preserve"> krimināllietas materi</w:t>
      </w:r>
      <w:r>
        <w:rPr>
          <w:rFonts w:ascii="Times New Roman" w:eastAsia="Times New Roman" w:hAnsi="Times New Roman" w:cs="Times New Roman"/>
          <w:color w:val="000000" w:themeColor="text1"/>
          <w:sz w:val="24"/>
          <w:szCs w:val="24"/>
          <w:lang w:eastAsia="lv-LV"/>
        </w:rPr>
        <w:t>ālus</w:t>
      </w:r>
      <w:r w:rsidR="009C0D2C" w:rsidRPr="0056287F">
        <w:rPr>
          <w:rFonts w:ascii="Times New Roman" w:eastAsia="Times New Roman" w:hAnsi="Times New Roman" w:cs="Times New Roman"/>
          <w:color w:val="000000" w:themeColor="text1"/>
          <w:sz w:val="24"/>
          <w:szCs w:val="24"/>
          <w:lang w:eastAsia="lv-LV"/>
        </w:rPr>
        <w:t xml:space="preserve">, rosinot uzsākt kriminālvajāšanu pret Ogres vispārējās pirmsskolas izglītības iestādes amatpersonu un darbiniekiem par ļaunprātīgu dienesta stāvokļa izmantošanu, dokumentu viltošanu un dienesta viltojumu, prettiesiski iegūstot 43 000 </w:t>
      </w:r>
      <w:proofErr w:type="spellStart"/>
      <w:r w:rsidR="009C0D2C" w:rsidRPr="0056287F">
        <w:rPr>
          <w:rFonts w:ascii="Times New Roman" w:eastAsia="Times New Roman" w:hAnsi="Times New Roman" w:cs="Times New Roman"/>
          <w:i/>
          <w:color w:val="000000" w:themeColor="text1"/>
          <w:sz w:val="24"/>
          <w:szCs w:val="24"/>
          <w:lang w:eastAsia="lv-LV"/>
        </w:rPr>
        <w:t>euro</w:t>
      </w:r>
      <w:proofErr w:type="spellEnd"/>
      <w:r w:rsidR="009C0D2C" w:rsidRPr="0056287F">
        <w:rPr>
          <w:rFonts w:ascii="Times New Roman" w:eastAsia="Times New Roman" w:hAnsi="Times New Roman" w:cs="Times New Roman"/>
          <w:i/>
          <w:color w:val="000000" w:themeColor="text1"/>
          <w:sz w:val="24"/>
          <w:szCs w:val="24"/>
          <w:lang w:eastAsia="lv-LV"/>
        </w:rPr>
        <w:t>.</w:t>
      </w:r>
    </w:p>
    <w:p w:rsidR="005C7C99" w:rsidRPr="00C41916" w:rsidRDefault="005C7C99"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 xml:space="preserve">Biroja amatpersonas </w:t>
      </w:r>
      <w:r>
        <w:rPr>
          <w:rFonts w:ascii="Times New Roman" w:hAnsi="Times New Roman" w:cs="Times New Roman"/>
          <w:sz w:val="24"/>
          <w:szCs w:val="24"/>
        </w:rPr>
        <w:t xml:space="preserve">korupcijas apkarošanas jomā </w:t>
      </w:r>
      <w:r w:rsidRPr="00C41916">
        <w:rPr>
          <w:rFonts w:ascii="Times New Roman" w:hAnsi="Times New Roman" w:cs="Times New Roman"/>
          <w:sz w:val="24"/>
          <w:szCs w:val="24"/>
        </w:rPr>
        <w:t>201</w:t>
      </w:r>
      <w:r w:rsidR="009B6BE0">
        <w:rPr>
          <w:rFonts w:ascii="Times New Roman" w:hAnsi="Times New Roman" w:cs="Times New Roman"/>
          <w:sz w:val="24"/>
          <w:szCs w:val="24"/>
        </w:rPr>
        <w:t>7</w:t>
      </w:r>
      <w:r w:rsidRPr="00C41916">
        <w:rPr>
          <w:rFonts w:ascii="Times New Roman" w:hAnsi="Times New Roman" w:cs="Times New Roman"/>
          <w:sz w:val="24"/>
          <w:szCs w:val="24"/>
        </w:rPr>
        <w:t xml:space="preserve">.gadā izskatīja </w:t>
      </w:r>
      <w:r w:rsidR="009B6BE0">
        <w:rPr>
          <w:rFonts w:ascii="Times New Roman" w:hAnsi="Times New Roman" w:cs="Times New Roman"/>
          <w:sz w:val="24"/>
          <w:szCs w:val="24"/>
        </w:rPr>
        <w:t>232</w:t>
      </w:r>
      <w:r>
        <w:rPr>
          <w:rFonts w:ascii="Times New Roman" w:hAnsi="Times New Roman" w:cs="Times New Roman"/>
          <w:sz w:val="24"/>
          <w:szCs w:val="24"/>
        </w:rPr>
        <w:t xml:space="preserve"> </w:t>
      </w:r>
      <w:r w:rsidRPr="00C41916">
        <w:rPr>
          <w:rFonts w:ascii="Times New Roman" w:hAnsi="Times New Roman" w:cs="Times New Roman"/>
          <w:sz w:val="24"/>
          <w:szCs w:val="24"/>
        </w:rPr>
        <w:t>personu iesniegumus</w:t>
      </w:r>
      <w:r w:rsidR="009B6BE0">
        <w:rPr>
          <w:rFonts w:ascii="Times New Roman" w:hAnsi="Times New Roman" w:cs="Times New Roman"/>
          <w:sz w:val="24"/>
          <w:szCs w:val="24"/>
        </w:rPr>
        <w:t xml:space="preserve"> (2016</w:t>
      </w:r>
      <w:r>
        <w:rPr>
          <w:rFonts w:ascii="Times New Roman" w:hAnsi="Times New Roman" w:cs="Times New Roman"/>
          <w:sz w:val="24"/>
          <w:szCs w:val="24"/>
        </w:rPr>
        <w:t xml:space="preserve">.gadā izskatīti </w:t>
      </w:r>
      <w:r w:rsidR="009B6BE0">
        <w:rPr>
          <w:rFonts w:ascii="Times New Roman" w:hAnsi="Times New Roman" w:cs="Times New Roman"/>
          <w:sz w:val="24"/>
          <w:szCs w:val="24"/>
        </w:rPr>
        <w:t>154</w:t>
      </w:r>
      <w:r>
        <w:rPr>
          <w:rFonts w:ascii="Times New Roman" w:hAnsi="Times New Roman" w:cs="Times New Roman"/>
          <w:sz w:val="24"/>
          <w:szCs w:val="24"/>
        </w:rPr>
        <w:t xml:space="preserve"> iesniegumi)</w:t>
      </w:r>
      <w:r w:rsidRPr="00C41916">
        <w:rPr>
          <w:rFonts w:ascii="Times New Roman" w:hAnsi="Times New Roman" w:cs="Times New Roman"/>
          <w:sz w:val="24"/>
          <w:szCs w:val="24"/>
        </w:rPr>
        <w:t xml:space="preserve">. Pārskata periodā </w:t>
      </w:r>
      <w:r>
        <w:rPr>
          <w:rFonts w:ascii="Times New Roman" w:hAnsi="Times New Roman" w:cs="Times New Roman"/>
          <w:sz w:val="24"/>
          <w:szCs w:val="24"/>
        </w:rPr>
        <w:t>Biroja Izmeklēšanas nodaļā</w:t>
      </w:r>
      <w:r w:rsidR="00183323">
        <w:rPr>
          <w:rFonts w:ascii="Times New Roman" w:hAnsi="Times New Roman" w:cs="Times New Roman"/>
          <w:sz w:val="24"/>
          <w:szCs w:val="24"/>
        </w:rPr>
        <w:t xml:space="preserve"> un Operatīvo izstrāžu nodaļā kopumā</w:t>
      </w:r>
      <w:r>
        <w:rPr>
          <w:rFonts w:ascii="Times New Roman" w:hAnsi="Times New Roman" w:cs="Times New Roman"/>
          <w:sz w:val="24"/>
          <w:szCs w:val="24"/>
        </w:rPr>
        <w:t xml:space="preserve"> </w:t>
      </w:r>
      <w:r w:rsidRPr="00C41916">
        <w:rPr>
          <w:rFonts w:ascii="Times New Roman" w:hAnsi="Times New Roman" w:cs="Times New Roman"/>
          <w:sz w:val="24"/>
          <w:szCs w:val="24"/>
        </w:rPr>
        <w:t>uzsākta</w:t>
      </w:r>
      <w:r w:rsidR="009C0D2C">
        <w:rPr>
          <w:rFonts w:ascii="Times New Roman" w:hAnsi="Times New Roman" w:cs="Times New Roman"/>
          <w:sz w:val="24"/>
          <w:szCs w:val="24"/>
        </w:rPr>
        <w:t>s</w:t>
      </w:r>
      <w:r w:rsidRPr="00C41916">
        <w:rPr>
          <w:rFonts w:ascii="Times New Roman" w:hAnsi="Times New Roman" w:cs="Times New Roman"/>
          <w:sz w:val="24"/>
          <w:szCs w:val="24"/>
        </w:rPr>
        <w:t xml:space="preserve"> </w:t>
      </w:r>
      <w:r w:rsidR="00183323">
        <w:rPr>
          <w:rFonts w:ascii="Times New Roman" w:hAnsi="Times New Roman" w:cs="Times New Roman"/>
          <w:sz w:val="24"/>
          <w:szCs w:val="24"/>
        </w:rPr>
        <w:t>207</w:t>
      </w:r>
      <w:r w:rsidRPr="00C41916">
        <w:rPr>
          <w:rFonts w:ascii="Times New Roman" w:hAnsi="Times New Roman" w:cs="Times New Roman"/>
          <w:sz w:val="24"/>
          <w:szCs w:val="24"/>
        </w:rPr>
        <w:t xml:space="preserve"> </w:t>
      </w:r>
      <w:proofErr w:type="spellStart"/>
      <w:r w:rsidRPr="00C41916">
        <w:rPr>
          <w:rFonts w:ascii="Times New Roman" w:hAnsi="Times New Roman" w:cs="Times New Roman"/>
          <w:sz w:val="24"/>
          <w:szCs w:val="24"/>
        </w:rPr>
        <w:t>resoriskā</w:t>
      </w:r>
      <w:r w:rsidR="009B6BE0">
        <w:rPr>
          <w:rFonts w:ascii="Times New Roman" w:hAnsi="Times New Roman" w:cs="Times New Roman"/>
          <w:sz w:val="24"/>
          <w:szCs w:val="24"/>
        </w:rPr>
        <w:t>s</w:t>
      </w:r>
      <w:proofErr w:type="spellEnd"/>
      <w:r w:rsidRPr="00C41916">
        <w:rPr>
          <w:rFonts w:ascii="Times New Roman" w:hAnsi="Times New Roman" w:cs="Times New Roman"/>
          <w:sz w:val="24"/>
          <w:szCs w:val="24"/>
        </w:rPr>
        <w:t xml:space="preserve"> pārbaude</w:t>
      </w:r>
      <w:r w:rsidR="009B6BE0">
        <w:rPr>
          <w:rFonts w:ascii="Times New Roman" w:hAnsi="Times New Roman" w:cs="Times New Roman"/>
          <w:sz w:val="24"/>
          <w:szCs w:val="24"/>
        </w:rPr>
        <w:t>s</w:t>
      </w:r>
      <w:r w:rsidRPr="00C41916">
        <w:rPr>
          <w:rFonts w:ascii="Times New Roman" w:hAnsi="Times New Roman" w:cs="Times New Roman"/>
          <w:sz w:val="24"/>
          <w:szCs w:val="24"/>
        </w:rPr>
        <w:t xml:space="preserve">. </w:t>
      </w:r>
      <w:proofErr w:type="spellStart"/>
      <w:r w:rsidRPr="00C41916">
        <w:rPr>
          <w:rFonts w:ascii="Times New Roman" w:eastAsia="Times New Roman" w:hAnsi="Times New Roman" w:cs="Times New Roman"/>
          <w:sz w:val="24"/>
          <w:szCs w:val="24"/>
        </w:rPr>
        <w:t>Resorisko</w:t>
      </w:r>
      <w:proofErr w:type="spellEnd"/>
      <w:r w:rsidRPr="00C41916">
        <w:rPr>
          <w:rFonts w:ascii="Times New Roman" w:eastAsia="Times New Roman" w:hAnsi="Times New Roman" w:cs="Times New Roman"/>
          <w:sz w:val="24"/>
          <w:szCs w:val="24"/>
        </w:rPr>
        <w:t xml:space="preserve"> pārbaužu rezultātā </w:t>
      </w:r>
      <w:r w:rsidR="009B6BE0">
        <w:rPr>
          <w:rFonts w:ascii="Times New Roman" w:eastAsia="Times New Roman" w:hAnsi="Times New Roman" w:cs="Times New Roman"/>
          <w:sz w:val="24"/>
          <w:szCs w:val="24"/>
        </w:rPr>
        <w:t>57</w:t>
      </w:r>
      <w:r w:rsidRPr="00C41916">
        <w:rPr>
          <w:rFonts w:ascii="Times New Roman" w:eastAsia="Times New Roman" w:hAnsi="Times New Roman" w:cs="Times New Roman"/>
          <w:sz w:val="24"/>
          <w:szCs w:val="24"/>
        </w:rPr>
        <w:t xml:space="preserve"> gadījumos pieņemts lēmums atteikt uzsākt kriminālprocesu,</w:t>
      </w:r>
      <w:r w:rsidR="009B6BE0">
        <w:rPr>
          <w:rFonts w:ascii="Times New Roman" w:eastAsia="Times New Roman" w:hAnsi="Times New Roman" w:cs="Times New Roman"/>
          <w:sz w:val="24"/>
          <w:szCs w:val="24"/>
        </w:rPr>
        <w:t xml:space="preserve"> </w:t>
      </w:r>
      <w:r w:rsidR="00A77875">
        <w:rPr>
          <w:rFonts w:ascii="Times New Roman" w:eastAsia="Times New Roman" w:hAnsi="Times New Roman" w:cs="Times New Roman"/>
          <w:sz w:val="24"/>
          <w:szCs w:val="24"/>
        </w:rPr>
        <w:t>vienā gadījumā a</w:t>
      </w:r>
      <w:r w:rsidR="00A77875" w:rsidRPr="00A77875">
        <w:rPr>
          <w:rFonts w:ascii="Times New Roman" w:eastAsia="Times New Roman" w:hAnsi="Times New Roman" w:cs="Times New Roman"/>
          <w:sz w:val="24"/>
          <w:szCs w:val="24"/>
        </w:rPr>
        <w:t>tcelt</w:t>
      </w:r>
      <w:r w:rsidR="00A77875">
        <w:rPr>
          <w:rFonts w:ascii="Times New Roman" w:eastAsia="Times New Roman" w:hAnsi="Times New Roman" w:cs="Times New Roman"/>
          <w:sz w:val="24"/>
          <w:szCs w:val="24"/>
        </w:rPr>
        <w:t>s</w:t>
      </w:r>
      <w:r w:rsidR="00A77875" w:rsidRPr="00A77875">
        <w:rPr>
          <w:rFonts w:ascii="Times New Roman" w:eastAsia="Times New Roman" w:hAnsi="Times New Roman" w:cs="Times New Roman"/>
          <w:sz w:val="24"/>
          <w:szCs w:val="24"/>
        </w:rPr>
        <w:t xml:space="preserve"> lēmum</w:t>
      </w:r>
      <w:r w:rsidR="00A77875">
        <w:rPr>
          <w:rFonts w:ascii="Times New Roman" w:eastAsia="Times New Roman" w:hAnsi="Times New Roman" w:cs="Times New Roman"/>
          <w:sz w:val="24"/>
          <w:szCs w:val="24"/>
        </w:rPr>
        <w:t>s</w:t>
      </w:r>
      <w:r w:rsidR="00A77875" w:rsidRPr="00A77875">
        <w:rPr>
          <w:rFonts w:ascii="Times New Roman" w:eastAsia="Times New Roman" w:hAnsi="Times New Roman" w:cs="Times New Roman"/>
          <w:sz w:val="24"/>
          <w:szCs w:val="24"/>
        </w:rPr>
        <w:t xml:space="preserve"> par atteikšanos uzsākt kriminālprocesu, uzsākot kriminālprocesu</w:t>
      </w:r>
      <w:r w:rsidR="009B6BE0">
        <w:rPr>
          <w:rFonts w:ascii="Times New Roman" w:eastAsia="Times New Roman" w:hAnsi="Times New Roman" w:cs="Times New Roman"/>
          <w:sz w:val="24"/>
          <w:szCs w:val="24"/>
        </w:rPr>
        <w:t>,</w:t>
      </w:r>
      <w:r w:rsidR="00A77875">
        <w:rPr>
          <w:rFonts w:ascii="Times New Roman" w:eastAsia="Times New Roman" w:hAnsi="Times New Roman" w:cs="Times New Roman"/>
          <w:sz w:val="24"/>
          <w:szCs w:val="24"/>
        </w:rPr>
        <w:t xml:space="preserve"> savukārt</w:t>
      </w:r>
      <w:r w:rsidRPr="00C41916">
        <w:rPr>
          <w:rFonts w:ascii="Times New Roman" w:eastAsia="Times New Roman" w:hAnsi="Times New Roman" w:cs="Times New Roman"/>
          <w:sz w:val="24"/>
          <w:szCs w:val="24"/>
        </w:rPr>
        <w:t xml:space="preserve"> pārējos gadījumos iesniedzējiem sniegtas atbildes vai iesniegumi pārsūtīti atbilstoši kompetencei.</w:t>
      </w:r>
    </w:p>
    <w:p w:rsidR="005C7C99" w:rsidRDefault="009B6BE0" w:rsidP="006C79D7">
      <w:pPr>
        <w:spacing w:after="0"/>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2017</w:t>
      </w:r>
      <w:r w:rsidR="005C7C99" w:rsidRPr="00C41916">
        <w:rPr>
          <w:rFonts w:ascii="Times New Roman" w:eastAsia="Times New Roman" w:hAnsi="Times New Roman" w:cs="Times New Roman"/>
          <w:sz w:val="24"/>
          <w:szCs w:val="24"/>
          <w:lang w:eastAsia="lv-LV"/>
        </w:rPr>
        <w:t xml:space="preserve">.gadā </w:t>
      </w:r>
      <w:r w:rsidR="009C0D2C">
        <w:rPr>
          <w:rFonts w:ascii="Times New Roman" w:eastAsia="Times New Roman" w:hAnsi="Times New Roman" w:cs="Times New Roman"/>
          <w:sz w:val="24"/>
          <w:szCs w:val="24"/>
          <w:lang w:eastAsia="lv-LV"/>
        </w:rPr>
        <w:t xml:space="preserve">Birojā </w:t>
      </w:r>
      <w:r w:rsidR="005C7C99" w:rsidRPr="00C41916">
        <w:rPr>
          <w:rFonts w:ascii="Times New Roman" w:eastAsia="Times New Roman" w:hAnsi="Times New Roman" w:cs="Times New Roman"/>
          <w:sz w:val="24"/>
          <w:szCs w:val="24"/>
          <w:lang w:eastAsia="lv-LV"/>
        </w:rPr>
        <w:t xml:space="preserve">saņemti </w:t>
      </w:r>
      <w:r>
        <w:rPr>
          <w:rFonts w:ascii="Times New Roman" w:eastAsia="Times New Roman" w:hAnsi="Times New Roman" w:cs="Times New Roman"/>
          <w:sz w:val="24"/>
          <w:szCs w:val="24"/>
          <w:lang w:eastAsia="lv-LV"/>
        </w:rPr>
        <w:t>40</w:t>
      </w:r>
      <w:r w:rsidR="005C7C99" w:rsidRPr="00C41916">
        <w:rPr>
          <w:rFonts w:ascii="Times New Roman" w:eastAsia="Times New Roman" w:hAnsi="Times New Roman" w:cs="Times New Roman"/>
          <w:sz w:val="24"/>
          <w:szCs w:val="24"/>
          <w:lang w:eastAsia="lv-LV"/>
        </w:rPr>
        <w:t xml:space="preserve"> ārvalstu tiesiskās palīdzības lūgumi no šādām valstīm </w:t>
      </w:r>
      <w:r w:rsidR="005C7C99">
        <w:rPr>
          <w:rFonts w:ascii="Times New Roman" w:eastAsia="Times New Roman" w:hAnsi="Times New Roman" w:cs="Times New Roman"/>
          <w:sz w:val="24"/>
          <w:szCs w:val="24"/>
          <w:lang w:eastAsia="lv-LV"/>
        </w:rPr>
        <w:t>–</w:t>
      </w:r>
      <w:r w:rsidR="005C7C99" w:rsidRPr="00C41916">
        <w:rPr>
          <w:rFonts w:ascii="Times New Roman" w:eastAsia="Times New Roman" w:hAnsi="Times New Roman" w:cs="Times New Roman"/>
          <w:sz w:val="24"/>
          <w:szCs w:val="24"/>
          <w:lang w:eastAsia="lv-LV"/>
        </w:rPr>
        <w:t xml:space="preserve"> </w:t>
      </w:r>
      <w:r w:rsidRPr="009B6BE0">
        <w:rPr>
          <w:rFonts w:ascii="Times New Roman" w:eastAsia="Times New Roman" w:hAnsi="Times New Roman" w:cs="Times New Roman"/>
          <w:sz w:val="24"/>
          <w:szCs w:val="24"/>
          <w:lang w:eastAsia="lv-LV"/>
        </w:rPr>
        <w:t xml:space="preserve">Francijas, Itālijas, ASV, Kirgīzijas, Ukrainas, Baltkrievijas, Igaunijas, Lietuvas, Rumānijas, Azerbaidžānas </w:t>
      </w:r>
      <w:r>
        <w:rPr>
          <w:rFonts w:ascii="Times New Roman" w:eastAsia="Times New Roman" w:hAnsi="Times New Roman" w:cs="Times New Roman"/>
          <w:sz w:val="24"/>
          <w:szCs w:val="24"/>
          <w:lang w:eastAsia="lv-LV"/>
        </w:rPr>
        <w:t>–</w:t>
      </w:r>
      <w:r w:rsidRPr="009B6BE0">
        <w:rPr>
          <w:rFonts w:ascii="Times New Roman" w:eastAsia="Times New Roman" w:hAnsi="Times New Roman" w:cs="Times New Roman"/>
          <w:sz w:val="24"/>
          <w:szCs w:val="24"/>
          <w:lang w:eastAsia="lv-LV"/>
        </w:rPr>
        <w:t xml:space="preserve"> 35 tiesiskās palīdzības lūgumi ir izpildīti.</w:t>
      </w:r>
      <w:r w:rsidR="009C0D2C">
        <w:rPr>
          <w:rFonts w:ascii="Times New Roman" w:eastAsia="Times New Roman" w:hAnsi="Times New Roman" w:cs="Times New Roman"/>
          <w:sz w:val="24"/>
          <w:szCs w:val="24"/>
          <w:lang w:eastAsia="lv-LV"/>
        </w:rPr>
        <w:t xml:space="preserve"> </w:t>
      </w:r>
    </w:p>
    <w:p w:rsidR="005C7C99" w:rsidRPr="00C41916" w:rsidRDefault="005C7C99" w:rsidP="006C79D7">
      <w:pPr>
        <w:spacing w:after="0"/>
        <w:ind w:firstLine="709"/>
        <w:jc w:val="both"/>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Lai nodrošinātu pierādījumu iegūšanu un nostiprināšanu Biroja lietvedībā esoša</w:t>
      </w:r>
      <w:r>
        <w:rPr>
          <w:rFonts w:ascii="Times New Roman" w:eastAsia="Times New Roman" w:hAnsi="Times New Roman" w:cs="Times New Roman"/>
          <w:sz w:val="24"/>
          <w:szCs w:val="24"/>
          <w:lang w:eastAsia="lv-LV"/>
        </w:rPr>
        <w:t>jos</w:t>
      </w:r>
      <w:r w:rsidRPr="00C41916">
        <w:rPr>
          <w:rFonts w:ascii="Times New Roman" w:eastAsia="Times New Roman" w:hAnsi="Times New Roman" w:cs="Times New Roman"/>
          <w:sz w:val="24"/>
          <w:szCs w:val="24"/>
          <w:lang w:eastAsia="lv-LV"/>
        </w:rPr>
        <w:t xml:space="preserve"> krimināl</w:t>
      </w:r>
      <w:r>
        <w:rPr>
          <w:rFonts w:ascii="Times New Roman" w:eastAsia="Times New Roman" w:hAnsi="Times New Roman" w:cs="Times New Roman"/>
          <w:sz w:val="24"/>
          <w:szCs w:val="24"/>
          <w:lang w:eastAsia="lv-LV"/>
        </w:rPr>
        <w:t>proceso</w:t>
      </w:r>
      <w:r w:rsidRPr="00C41916">
        <w:rPr>
          <w:rFonts w:ascii="Times New Roman" w:eastAsia="Times New Roman" w:hAnsi="Times New Roman" w:cs="Times New Roman"/>
          <w:sz w:val="24"/>
          <w:szCs w:val="24"/>
          <w:lang w:eastAsia="lv-LV"/>
        </w:rPr>
        <w:t>s, 201</w:t>
      </w:r>
      <w:r w:rsidR="009B6BE0">
        <w:rPr>
          <w:rFonts w:ascii="Times New Roman" w:eastAsia="Times New Roman" w:hAnsi="Times New Roman" w:cs="Times New Roman"/>
          <w:sz w:val="24"/>
          <w:szCs w:val="24"/>
          <w:lang w:eastAsia="lv-LV"/>
        </w:rPr>
        <w:t>7</w:t>
      </w:r>
      <w:r w:rsidRPr="00C41916">
        <w:rPr>
          <w:rFonts w:ascii="Times New Roman" w:eastAsia="Times New Roman" w:hAnsi="Times New Roman" w:cs="Times New Roman"/>
          <w:sz w:val="24"/>
          <w:szCs w:val="24"/>
          <w:lang w:eastAsia="lv-LV"/>
        </w:rPr>
        <w:t xml:space="preserve">.gadā Birojs bija sagatavojis </w:t>
      </w:r>
      <w:r w:rsidR="009B6BE0">
        <w:rPr>
          <w:rFonts w:ascii="Times New Roman" w:eastAsia="Times New Roman" w:hAnsi="Times New Roman" w:cs="Times New Roman"/>
          <w:sz w:val="24"/>
          <w:szCs w:val="24"/>
          <w:lang w:eastAsia="lv-LV"/>
        </w:rPr>
        <w:t>7</w:t>
      </w:r>
      <w:r w:rsidRPr="00C41916">
        <w:rPr>
          <w:rFonts w:ascii="Times New Roman" w:eastAsia="Times New Roman" w:hAnsi="Times New Roman" w:cs="Times New Roman"/>
          <w:sz w:val="24"/>
          <w:szCs w:val="24"/>
          <w:lang w:eastAsia="lv-LV"/>
        </w:rPr>
        <w:t xml:space="preserve"> tiesiskās palīdzības lūgumus</w:t>
      </w:r>
      <w:r>
        <w:rPr>
          <w:rFonts w:ascii="Times New Roman" w:eastAsia="Times New Roman" w:hAnsi="Times New Roman" w:cs="Times New Roman"/>
          <w:sz w:val="24"/>
          <w:szCs w:val="24"/>
          <w:lang w:eastAsia="lv-LV"/>
        </w:rPr>
        <w:t xml:space="preserve"> (201</w:t>
      </w:r>
      <w:r w:rsidR="00F9286E">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.gadā sagatav</w:t>
      </w:r>
      <w:r w:rsidR="00B25394">
        <w:rPr>
          <w:rFonts w:ascii="Times New Roman" w:eastAsia="Times New Roman" w:hAnsi="Times New Roman" w:cs="Times New Roman"/>
          <w:sz w:val="24"/>
          <w:szCs w:val="24"/>
          <w:lang w:eastAsia="lv-LV"/>
        </w:rPr>
        <w:t>oti</w:t>
      </w:r>
      <w:r>
        <w:rPr>
          <w:rFonts w:ascii="Times New Roman" w:eastAsia="Times New Roman" w:hAnsi="Times New Roman" w:cs="Times New Roman"/>
          <w:sz w:val="24"/>
          <w:szCs w:val="24"/>
          <w:lang w:eastAsia="lv-LV"/>
        </w:rPr>
        <w:t xml:space="preserve"> </w:t>
      </w:r>
      <w:r w:rsidR="009B6BE0">
        <w:rPr>
          <w:rFonts w:ascii="Times New Roman" w:eastAsia="Times New Roman" w:hAnsi="Times New Roman" w:cs="Times New Roman"/>
          <w:sz w:val="24"/>
          <w:szCs w:val="24"/>
          <w:lang w:eastAsia="lv-LV"/>
        </w:rPr>
        <w:t>10</w:t>
      </w:r>
      <w:r w:rsidR="00B25394">
        <w:rPr>
          <w:rFonts w:ascii="Times New Roman" w:eastAsia="Times New Roman" w:hAnsi="Times New Roman" w:cs="Times New Roman"/>
          <w:sz w:val="24"/>
          <w:szCs w:val="24"/>
          <w:lang w:eastAsia="lv-LV"/>
        </w:rPr>
        <w:t xml:space="preserve"> tiesiskās palīdzības lūgumi</w:t>
      </w:r>
      <w:r>
        <w:rPr>
          <w:rFonts w:ascii="Times New Roman" w:eastAsia="Times New Roman" w:hAnsi="Times New Roman" w:cs="Times New Roman"/>
          <w:sz w:val="24"/>
          <w:szCs w:val="24"/>
          <w:lang w:eastAsia="lv-LV"/>
        </w:rPr>
        <w:t>)</w:t>
      </w:r>
      <w:r w:rsidR="003C79FC">
        <w:rPr>
          <w:rFonts w:ascii="Times New Roman" w:eastAsia="Times New Roman" w:hAnsi="Times New Roman" w:cs="Times New Roman"/>
          <w:sz w:val="24"/>
          <w:szCs w:val="24"/>
          <w:lang w:eastAsia="lv-LV"/>
        </w:rPr>
        <w:t xml:space="preserve"> ārvalstīm</w:t>
      </w:r>
      <w:r w:rsidR="009B6BE0">
        <w:rPr>
          <w:rFonts w:ascii="Times New Roman" w:eastAsia="Times New Roman" w:hAnsi="Times New Roman" w:cs="Times New Roman"/>
          <w:sz w:val="24"/>
          <w:szCs w:val="24"/>
          <w:lang w:eastAsia="lv-LV"/>
        </w:rPr>
        <w:t>.</w:t>
      </w:r>
    </w:p>
    <w:p w:rsidR="005C7C99" w:rsidRDefault="005C7C99"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Biroja amatpersonas piedal</w:t>
      </w:r>
      <w:r>
        <w:rPr>
          <w:rFonts w:ascii="Times New Roman" w:hAnsi="Times New Roman" w:cs="Times New Roman"/>
          <w:sz w:val="24"/>
          <w:szCs w:val="24"/>
        </w:rPr>
        <w:t>ījā</w:t>
      </w:r>
      <w:r w:rsidRPr="00C41916">
        <w:rPr>
          <w:rFonts w:ascii="Times New Roman" w:hAnsi="Times New Roman" w:cs="Times New Roman"/>
          <w:sz w:val="24"/>
          <w:szCs w:val="24"/>
        </w:rPr>
        <w:t>s Tieslietu ministrijas izveidotajā pastāvīgajā darba grupā Kriminālprocesa likuma un Krimināllikuma grozījumu izstrādei.</w:t>
      </w:r>
    </w:p>
    <w:p w:rsidR="009D30DC" w:rsidRDefault="009D30DC" w:rsidP="006C79D7">
      <w:pPr>
        <w:spacing w:after="0"/>
        <w:ind w:firstLine="709"/>
        <w:jc w:val="both"/>
        <w:rPr>
          <w:rFonts w:ascii="Times New Roman" w:hAnsi="Times New Roman" w:cs="Times New Roman"/>
          <w:sz w:val="24"/>
          <w:szCs w:val="24"/>
        </w:rPr>
      </w:pPr>
      <w:r>
        <w:rPr>
          <w:rFonts w:ascii="Times New Roman" w:hAnsi="Times New Roman" w:cs="Times New Roman"/>
          <w:sz w:val="24"/>
          <w:szCs w:val="24"/>
        </w:rPr>
        <w:t>Biroja</w:t>
      </w:r>
      <w:r w:rsidR="00E86B8A">
        <w:rPr>
          <w:rFonts w:ascii="Times New Roman" w:hAnsi="Times New Roman" w:cs="Times New Roman"/>
          <w:sz w:val="24"/>
          <w:szCs w:val="24"/>
        </w:rPr>
        <w:t xml:space="preserve"> darbinieki ir nodrošinājuši</w:t>
      </w:r>
      <w:r w:rsidRPr="009D30DC">
        <w:rPr>
          <w:rFonts w:ascii="Times New Roman" w:hAnsi="Times New Roman" w:cs="Times New Roman"/>
          <w:sz w:val="24"/>
          <w:szCs w:val="24"/>
        </w:rPr>
        <w:t xml:space="preserve"> revidentu, diplomātu, banku darbinieku apmācības, lai sekmētu ziņošanu par ārvalstu amatpersonu kukuļ</w:t>
      </w:r>
      <w:r w:rsidR="00B25394">
        <w:rPr>
          <w:rFonts w:ascii="Times New Roman" w:hAnsi="Times New Roman" w:cs="Times New Roman"/>
          <w:sz w:val="24"/>
          <w:szCs w:val="24"/>
        </w:rPr>
        <w:t>ošanu. Izmeklēšanas n</w:t>
      </w:r>
      <w:r w:rsidR="00C112AC">
        <w:rPr>
          <w:rFonts w:ascii="Times New Roman" w:hAnsi="Times New Roman" w:cs="Times New Roman"/>
          <w:sz w:val="24"/>
          <w:szCs w:val="24"/>
        </w:rPr>
        <w:t xml:space="preserve">odaļas darbinieki ir </w:t>
      </w:r>
      <w:r w:rsidRPr="009D30DC">
        <w:rPr>
          <w:rFonts w:ascii="Times New Roman" w:hAnsi="Times New Roman" w:cs="Times New Roman"/>
          <w:sz w:val="24"/>
          <w:szCs w:val="24"/>
        </w:rPr>
        <w:t>aktīvi reaģējuši uz informāciju, kas norāda uz ārvalstu amatpersonu kukuļošanu</w:t>
      </w:r>
      <w:r w:rsidR="00C112AC">
        <w:rPr>
          <w:rFonts w:ascii="Times New Roman" w:hAnsi="Times New Roman" w:cs="Times New Roman"/>
          <w:sz w:val="24"/>
          <w:szCs w:val="24"/>
        </w:rPr>
        <w:t>.</w:t>
      </w:r>
      <w:r w:rsidR="00E86B8A">
        <w:rPr>
          <w:rFonts w:ascii="Times New Roman" w:hAnsi="Times New Roman" w:cs="Times New Roman"/>
          <w:sz w:val="24"/>
          <w:szCs w:val="24"/>
        </w:rPr>
        <w:t xml:space="preserve"> I</w:t>
      </w:r>
      <w:r w:rsidR="00E86B8A" w:rsidRPr="00E86B8A">
        <w:rPr>
          <w:rFonts w:ascii="Times New Roman" w:hAnsi="Times New Roman" w:cs="Times New Roman"/>
          <w:sz w:val="24"/>
          <w:szCs w:val="24"/>
        </w:rPr>
        <w:t xml:space="preserve">zmeklējot pārrobežu kukuļošanu, </w:t>
      </w:r>
      <w:r w:rsidR="00E86B8A">
        <w:rPr>
          <w:rFonts w:ascii="Times New Roman" w:hAnsi="Times New Roman" w:cs="Times New Roman"/>
          <w:sz w:val="24"/>
          <w:szCs w:val="24"/>
        </w:rPr>
        <w:t>Biroja</w:t>
      </w:r>
      <w:r w:rsidR="00E86B8A" w:rsidRPr="00E86B8A">
        <w:rPr>
          <w:rFonts w:ascii="Times New Roman" w:hAnsi="Times New Roman" w:cs="Times New Roman"/>
          <w:sz w:val="24"/>
          <w:szCs w:val="24"/>
        </w:rPr>
        <w:t xml:space="preserve"> izmeklētāji ir pievērsuši uzmanību mantisko jautājumu risinājumam šajos kriminālprocesos un ir aktīvi centušies nodrošināt arestu uzlikšanu</w:t>
      </w:r>
      <w:r w:rsidR="0095516E">
        <w:rPr>
          <w:rFonts w:ascii="Times New Roman" w:hAnsi="Times New Roman" w:cs="Times New Roman"/>
          <w:sz w:val="24"/>
          <w:szCs w:val="24"/>
        </w:rPr>
        <w:t>,</w:t>
      </w:r>
      <w:r w:rsidR="00E86B8A" w:rsidRPr="00E86B8A">
        <w:rPr>
          <w:rFonts w:ascii="Times New Roman" w:hAnsi="Times New Roman" w:cs="Times New Roman"/>
          <w:sz w:val="24"/>
          <w:szCs w:val="24"/>
        </w:rPr>
        <w:t xml:space="preserve"> iespējam</w:t>
      </w:r>
      <w:r w:rsidR="0095516E">
        <w:rPr>
          <w:rFonts w:ascii="Times New Roman" w:hAnsi="Times New Roman" w:cs="Times New Roman"/>
          <w:sz w:val="24"/>
          <w:szCs w:val="24"/>
        </w:rPr>
        <w:t>s,</w:t>
      </w:r>
      <w:r w:rsidR="00E86B8A" w:rsidRPr="00E86B8A">
        <w:rPr>
          <w:rFonts w:ascii="Times New Roman" w:hAnsi="Times New Roman" w:cs="Times New Roman"/>
          <w:sz w:val="24"/>
          <w:szCs w:val="24"/>
        </w:rPr>
        <w:t xml:space="preserve"> noziedzīgi iegūtai mantai.</w:t>
      </w:r>
    </w:p>
    <w:p w:rsidR="005C7C99" w:rsidRPr="003A3A10" w:rsidRDefault="005C7C99" w:rsidP="006C79D7">
      <w:pPr>
        <w:spacing w:after="0"/>
        <w:ind w:firstLine="709"/>
        <w:jc w:val="both"/>
        <w:rPr>
          <w:rFonts w:ascii="Times New Roman" w:hAnsi="Times New Roman" w:cs="Times New Roman"/>
          <w:color w:val="000000" w:themeColor="text1"/>
          <w:sz w:val="24"/>
          <w:szCs w:val="24"/>
        </w:rPr>
      </w:pPr>
      <w:r w:rsidRPr="003A3A10">
        <w:rPr>
          <w:rFonts w:ascii="Times New Roman" w:hAnsi="Times New Roman" w:cs="Times New Roman"/>
          <w:color w:val="000000" w:themeColor="text1"/>
          <w:sz w:val="24"/>
          <w:szCs w:val="24"/>
        </w:rPr>
        <w:t xml:space="preserve">Ziņojums par operatīvas darbības rezultātiem (pārskats par operatīvās darbības rezultātiem un to raksturojošiem statistikas datiem) izstrādāts un iesniegts Ministru kabinetam atbilstoši Ministru kabineta </w:t>
      </w:r>
      <w:r w:rsidR="00EC3057" w:rsidRPr="003A3A10">
        <w:rPr>
          <w:rFonts w:ascii="Times New Roman" w:hAnsi="Times New Roman" w:cs="Times New Roman"/>
          <w:color w:val="000000" w:themeColor="text1"/>
          <w:sz w:val="24"/>
          <w:szCs w:val="24"/>
        </w:rPr>
        <w:t xml:space="preserve">2007.gada 12.jūnija </w:t>
      </w:r>
      <w:r w:rsidRPr="003A3A10">
        <w:rPr>
          <w:rFonts w:ascii="Times New Roman" w:hAnsi="Times New Roman" w:cs="Times New Roman"/>
          <w:color w:val="000000" w:themeColor="text1"/>
          <w:sz w:val="24"/>
          <w:szCs w:val="24"/>
        </w:rPr>
        <w:t xml:space="preserve">instrukcijai Nr.10 “Kārtība, kādā Ministru kabinets kontrolē operatīvās darbības subjektu uzdevumu izpildi”, kas izdota saskaņā ar </w:t>
      </w:r>
      <w:hyperlink r:id="rId16" w:tgtFrame="_blank" w:history="1">
        <w:r w:rsidRPr="003A3A10">
          <w:rPr>
            <w:rStyle w:val="Hyperlink"/>
            <w:rFonts w:ascii="Times New Roman" w:hAnsi="Times New Roman" w:cs="Times New Roman"/>
            <w:color w:val="000000" w:themeColor="text1"/>
            <w:sz w:val="24"/>
            <w:szCs w:val="24"/>
            <w:u w:val="none"/>
          </w:rPr>
          <w:t>Operatīvās darbības likuma</w:t>
        </w:r>
      </w:hyperlink>
      <w:r w:rsidRPr="003A3A10">
        <w:rPr>
          <w:rFonts w:ascii="Times New Roman" w:hAnsi="Times New Roman" w:cs="Times New Roman"/>
          <w:color w:val="000000" w:themeColor="text1"/>
          <w:sz w:val="24"/>
          <w:szCs w:val="24"/>
        </w:rPr>
        <w:t xml:space="preserve"> </w:t>
      </w:r>
      <w:hyperlink r:id="rId17" w:anchor="p34" w:tgtFrame="_blank" w:history="1">
        <w:r w:rsidRPr="003A3A10">
          <w:rPr>
            <w:rStyle w:val="Hyperlink"/>
            <w:rFonts w:ascii="Times New Roman" w:hAnsi="Times New Roman" w:cs="Times New Roman"/>
            <w:color w:val="000000" w:themeColor="text1"/>
            <w:sz w:val="24"/>
            <w:szCs w:val="24"/>
            <w:u w:val="none"/>
          </w:rPr>
          <w:t>34.panta</w:t>
        </w:r>
      </w:hyperlink>
      <w:r w:rsidRPr="003A3A10">
        <w:rPr>
          <w:rFonts w:ascii="Times New Roman" w:hAnsi="Times New Roman" w:cs="Times New Roman"/>
          <w:color w:val="000000" w:themeColor="text1"/>
          <w:sz w:val="24"/>
          <w:szCs w:val="24"/>
        </w:rPr>
        <w:t xml:space="preserve"> trešo daļu,</w:t>
      </w:r>
      <w:r w:rsidRPr="003A3A10">
        <w:rPr>
          <w:rFonts w:ascii="Arial" w:hAnsi="Arial" w:cs="Arial"/>
          <w:color w:val="000000" w:themeColor="text1"/>
        </w:rPr>
        <w:t xml:space="preserve"> </w:t>
      </w:r>
      <w:r w:rsidRPr="003A3A10">
        <w:rPr>
          <w:rFonts w:ascii="Times New Roman" w:hAnsi="Times New Roman" w:cs="Times New Roman"/>
          <w:color w:val="000000" w:themeColor="text1"/>
          <w:sz w:val="24"/>
          <w:szCs w:val="24"/>
        </w:rPr>
        <w:t>un ir klasificēts.</w:t>
      </w:r>
      <w:r w:rsidR="00F9286E" w:rsidRPr="003A3A10">
        <w:rPr>
          <w:rFonts w:ascii="Times New Roman" w:hAnsi="Times New Roman" w:cs="Times New Roman"/>
          <w:color w:val="000000" w:themeColor="text1"/>
          <w:sz w:val="24"/>
          <w:szCs w:val="24"/>
        </w:rPr>
        <w:t xml:space="preserve"> </w:t>
      </w:r>
    </w:p>
    <w:p w:rsidR="005C7C99" w:rsidRPr="003A3A10" w:rsidRDefault="003A3A10" w:rsidP="006C79D7">
      <w:pPr>
        <w:spacing w:after="0"/>
        <w:ind w:firstLine="709"/>
        <w:jc w:val="both"/>
        <w:rPr>
          <w:rFonts w:ascii="Times New Roman" w:hAnsi="Times New Roman" w:cs="Times New Roman"/>
          <w:color w:val="000000" w:themeColor="text1"/>
          <w:sz w:val="24"/>
          <w:szCs w:val="24"/>
        </w:rPr>
      </w:pPr>
      <w:r w:rsidRPr="003A3A10">
        <w:rPr>
          <w:rFonts w:ascii="Times New Roman" w:hAnsi="Times New Roman" w:cs="Times New Roman"/>
          <w:color w:val="000000" w:themeColor="text1"/>
          <w:sz w:val="24"/>
          <w:szCs w:val="24"/>
        </w:rPr>
        <w:t xml:space="preserve">Ministru kabineta </w:t>
      </w:r>
      <w:r w:rsidR="00EC3057" w:rsidRPr="003A3A10">
        <w:rPr>
          <w:rFonts w:ascii="Times New Roman" w:hAnsi="Times New Roman" w:cs="Times New Roman"/>
          <w:color w:val="000000" w:themeColor="text1"/>
          <w:sz w:val="24"/>
          <w:szCs w:val="24"/>
        </w:rPr>
        <w:t xml:space="preserve">2016.gada 16.augusta </w:t>
      </w:r>
      <w:r w:rsidRPr="003A3A10">
        <w:rPr>
          <w:rFonts w:ascii="Times New Roman" w:hAnsi="Times New Roman" w:cs="Times New Roman"/>
          <w:color w:val="000000" w:themeColor="text1"/>
          <w:sz w:val="24"/>
          <w:szCs w:val="24"/>
        </w:rPr>
        <w:t>noteikumu Nr.537 “Noteikumi par informāciju, kas iekļaujama ziņojumā, kuru Korupcijas novēršanas un apkarošanas birojs sniedz Ministru kabinetam un Saeimai” 2.5.2.apakšpunktā minēto informāciju Birojs iesniedz</w:t>
      </w:r>
      <w:r w:rsidR="00EC3057">
        <w:rPr>
          <w:rFonts w:ascii="Times New Roman" w:hAnsi="Times New Roman" w:cs="Times New Roman"/>
          <w:color w:val="000000" w:themeColor="text1"/>
          <w:sz w:val="24"/>
          <w:szCs w:val="24"/>
        </w:rPr>
        <w:t>a</w:t>
      </w:r>
      <w:r w:rsidRPr="003A3A10">
        <w:rPr>
          <w:rFonts w:ascii="Times New Roman" w:hAnsi="Times New Roman" w:cs="Times New Roman"/>
          <w:color w:val="000000" w:themeColor="text1"/>
          <w:sz w:val="24"/>
          <w:szCs w:val="24"/>
        </w:rPr>
        <w:t xml:space="preserve"> Saeimai atsevišķā dokumentā.</w:t>
      </w:r>
      <w:r w:rsidR="00EC3057">
        <w:rPr>
          <w:rFonts w:ascii="Times New Roman" w:hAnsi="Times New Roman" w:cs="Times New Roman"/>
          <w:color w:val="000000" w:themeColor="text1"/>
          <w:sz w:val="24"/>
          <w:szCs w:val="24"/>
        </w:rPr>
        <w:t xml:space="preserve"> </w:t>
      </w:r>
    </w:p>
    <w:p w:rsidR="003A3A10" w:rsidRPr="00C41916" w:rsidRDefault="003A3A10" w:rsidP="006C79D7">
      <w:pPr>
        <w:spacing w:after="0"/>
        <w:ind w:firstLine="709"/>
        <w:jc w:val="both"/>
        <w:rPr>
          <w:rFonts w:ascii="Times New Roman" w:eastAsia="Times New Roman" w:hAnsi="Times New Roman" w:cs="Times New Roman"/>
          <w:sz w:val="24"/>
          <w:szCs w:val="24"/>
          <w:lang w:eastAsia="lv-LV"/>
        </w:rPr>
      </w:pPr>
    </w:p>
    <w:p w:rsidR="005C7C99" w:rsidRPr="00F24C19" w:rsidRDefault="0052015E" w:rsidP="009060F2">
      <w:pPr>
        <w:pStyle w:val="Heading2"/>
        <w:spacing w:before="0"/>
        <w:rPr>
          <w:sz w:val="28"/>
          <w:szCs w:val="28"/>
        </w:rPr>
      </w:pPr>
      <w:bookmarkStart w:id="54" w:name="_Toc474219922"/>
      <w:bookmarkStart w:id="55" w:name="_Toc474220926"/>
      <w:bookmarkStart w:id="56" w:name="_Toc474410933"/>
      <w:bookmarkStart w:id="57" w:name="_Toc505249171"/>
      <w:r w:rsidRPr="00F24C19">
        <w:rPr>
          <w:sz w:val="28"/>
          <w:szCs w:val="28"/>
        </w:rPr>
        <w:t>4. </w:t>
      </w:r>
      <w:r w:rsidR="005C7C99" w:rsidRPr="00F24C19">
        <w:rPr>
          <w:sz w:val="28"/>
          <w:szCs w:val="28"/>
        </w:rPr>
        <w:t>Politisko organizāciju (partiju) finansēšanas noteikumu izpildes un priekšvēlēšanu aģitācijas kontrole</w:t>
      </w:r>
      <w:bookmarkEnd w:id="54"/>
      <w:bookmarkEnd w:id="55"/>
      <w:bookmarkEnd w:id="56"/>
      <w:bookmarkEnd w:id="57"/>
    </w:p>
    <w:p w:rsidR="005C7C99" w:rsidRPr="00C41916" w:rsidRDefault="005C7C99" w:rsidP="006C79D7">
      <w:pPr>
        <w:spacing w:after="0"/>
        <w:ind w:firstLine="567"/>
        <w:jc w:val="both"/>
        <w:rPr>
          <w:rFonts w:ascii="Times New Roman" w:eastAsia="Times New Roman" w:hAnsi="Times New Roman" w:cs="Times New Roman"/>
          <w:sz w:val="24"/>
          <w:szCs w:val="24"/>
          <w:lang w:eastAsia="lv-LV"/>
        </w:rPr>
      </w:pPr>
    </w:p>
    <w:p w:rsidR="002F101D" w:rsidRPr="00F56DBE" w:rsidRDefault="002F101D" w:rsidP="006C79D7">
      <w:pPr>
        <w:spacing w:after="0"/>
        <w:ind w:firstLine="709"/>
        <w:jc w:val="both"/>
        <w:rPr>
          <w:rFonts w:ascii="Times New Roman" w:eastAsia="Times New Roman" w:hAnsi="Times New Roman" w:cs="Times New Roman"/>
          <w:sz w:val="24"/>
          <w:szCs w:val="24"/>
          <w:lang w:eastAsia="lv-LV"/>
        </w:rPr>
      </w:pPr>
      <w:r w:rsidRPr="00F56DBE">
        <w:rPr>
          <w:rFonts w:ascii="Times New Roman" w:eastAsia="Times New Roman" w:hAnsi="Times New Roman" w:cs="Times New Roman"/>
          <w:sz w:val="24"/>
          <w:szCs w:val="24"/>
          <w:lang w:eastAsia="lv-LV"/>
        </w:rPr>
        <w:t>Politisko organizāciju (partiju) un to apvienību finansēšanas noteikumu kontroles mērķis ir nodrošināt partiju finansiālās darbības atklātumu, likumību un atbilstību parlamentārās demokrātijas sistēmai. Veicot likumā noteiktās funkcijas politisko partiju finansēšanas un priekšvēlēšanu aģitācijas kontroles jomā, pārskata periodā Biroja amatpersonas izpildīja virkni būtisku uzdevumu.</w:t>
      </w:r>
    </w:p>
    <w:p w:rsidR="002F101D" w:rsidRPr="00F56DBE" w:rsidRDefault="002F101D" w:rsidP="006C79D7">
      <w:pPr>
        <w:spacing w:after="0"/>
        <w:ind w:firstLine="709"/>
        <w:jc w:val="both"/>
        <w:rPr>
          <w:rFonts w:ascii="Times New Roman" w:eastAsia="Times New Roman" w:hAnsi="Times New Roman" w:cs="Times New Roman"/>
          <w:sz w:val="24"/>
          <w:szCs w:val="24"/>
          <w:lang w:eastAsia="lv-LV"/>
        </w:rPr>
      </w:pPr>
      <w:r w:rsidRPr="00F56DBE">
        <w:rPr>
          <w:rFonts w:ascii="Times New Roman" w:eastAsia="Times New Roman" w:hAnsi="Times New Roman" w:cs="Times New Roman"/>
          <w:sz w:val="24"/>
          <w:szCs w:val="24"/>
          <w:lang w:eastAsia="lv-LV"/>
        </w:rPr>
        <w:t>Pārskata periodā saistībā ar vēlēšanu norisi Birojs aicināja politiskās partijas un to apvienības</w:t>
      </w:r>
      <w:r>
        <w:rPr>
          <w:rFonts w:ascii="Times New Roman" w:eastAsia="Times New Roman" w:hAnsi="Times New Roman" w:cs="Times New Roman"/>
          <w:sz w:val="24"/>
          <w:szCs w:val="24"/>
          <w:lang w:eastAsia="lv-LV"/>
        </w:rPr>
        <w:t xml:space="preserve"> un reklāmas pakalpojumu sniedzējus </w:t>
      </w:r>
      <w:r w:rsidRPr="00F56DBE">
        <w:rPr>
          <w:rFonts w:ascii="Times New Roman" w:eastAsia="Times New Roman" w:hAnsi="Times New Roman" w:cs="Times New Roman"/>
          <w:sz w:val="24"/>
          <w:szCs w:val="24"/>
          <w:lang w:eastAsia="lv-LV"/>
        </w:rPr>
        <w:t>uz informatīv</w:t>
      </w:r>
      <w:r>
        <w:rPr>
          <w:rFonts w:ascii="Times New Roman" w:eastAsia="Times New Roman" w:hAnsi="Times New Roman" w:cs="Times New Roman"/>
          <w:sz w:val="24"/>
          <w:szCs w:val="24"/>
          <w:lang w:eastAsia="lv-LV"/>
        </w:rPr>
        <w:t>ajiem</w:t>
      </w:r>
      <w:r w:rsidRPr="00F56DBE">
        <w:rPr>
          <w:rFonts w:ascii="Times New Roman" w:eastAsia="Times New Roman" w:hAnsi="Times New Roman" w:cs="Times New Roman"/>
          <w:sz w:val="24"/>
          <w:szCs w:val="24"/>
          <w:lang w:eastAsia="lv-LV"/>
        </w:rPr>
        <w:t xml:space="preserve"> seminār</w:t>
      </w:r>
      <w:r>
        <w:rPr>
          <w:rFonts w:ascii="Times New Roman" w:eastAsia="Times New Roman" w:hAnsi="Times New Roman" w:cs="Times New Roman"/>
          <w:sz w:val="24"/>
          <w:szCs w:val="24"/>
          <w:lang w:eastAsia="lv-LV"/>
        </w:rPr>
        <w:t>iem</w:t>
      </w:r>
      <w:r w:rsidRPr="00F56DBE">
        <w:rPr>
          <w:rFonts w:ascii="Times New Roman" w:eastAsia="Times New Roman" w:hAnsi="Times New Roman" w:cs="Times New Roman"/>
          <w:sz w:val="24"/>
          <w:szCs w:val="24"/>
          <w:lang w:eastAsia="lv-LV"/>
        </w:rPr>
        <w:t xml:space="preserve"> par priekšvēlēšanu politiskās aģitācijas </w:t>
      </w:r>
      <w:r>
        <w:rPr>
          <w:rFonts w:ascii="Times New Roman" w:eastAsia="Times New Roman" w:hAnsi="Times New Roman" w:cs="Times New Roman"/>
          <w:sz w:val="24"/>
          <w:szCs w:val="24"/>
          <w:lang w:eastAsia="lv-LV"/>
        </w:rPr>
        <w:t xml:space="preserve">un politisko partiju finansēšanas </w:t>
      </w:r>
      <w:r w:rsidRPr="00F56DBE">
        <w:rPr>
          <w:rFonts w:ascii="Times New Roman" w:eastAsia="Times New Roman" w:hAnsi="Times New Roman" w:cs="Times New Roman"/>
          <w:sz w:val="24"/>
          <w:szCs w:val="24"/>
          <w:lang w:eastAsia="lv-LV"/>
        </w:rPr>
        <w:t xml:space="preserve">jautājumiem. </w:t>
      </w:r>
      <w:r w:rsidR="003C79FC" w:rsidRPr="00F56DBE">
        <w:rPr>
          <w:rFonts w:ascii="Times New Roman" w:eastAsia="Times New Roman" w:hAnsi="Times New Roman" w:cs="Times New Roman"/>
          <w:sz w:val="24"/>
          <w:szCs w:val="24"/>
          <w:lang w:eastAsia="lv-LV"/>
        </w:rPr>
        <w:t>Seminār</w:t>
      </w:r>
      <w:r w:rsidR="003C79FC">
        <w:rPr>
          <w:rFonts w:ascii="Times New Roman" w:eastAsia="Times New Roman" w:hAnsi="Times New Roman" w:cs="Times New Roman"/>
          <w:sz w:val="24"/>
          <w:szCs w:val="24"/>
          <w:lang w:eastAsia="lv-LV"/>
        </w:rPr>
        <w:t>os</w:t>
      </w:r>
      <w:r w:rsidR="003C79FC" w:rsidRPr="00F56DBE">
        <w:rPr>
          <w:rFonts w:ascii="Times New Roman" w:eastAsia="Times New Roman" w:hAnsi="Times New Roman" w:cs="Times New Roman"/>
          <w:sz w:val="24"/>
          <w:szCs w:val="24"/>
          <w:lang w:eastAsia="lv-LV"/>
        </w:rPr>
        <w:t xml:space="preserve"> </w:t>
      </w:r>
      <w:r w:rsidRPr="00F56DBE">
        <w:rPr>
          <w:rFonts w:ascii="Times New Roman" w:eastAsia="Times New Roman" w:hAnsi="Times New Roman" w:cs="Times New Roman"/>
          <w:sz w:val="24"/>
          <w:szCs w:val="24"/>
          <w:lang w:eastAsia="lv-LV"/>
        </w:rPr>
        <w:t>tika skaidrotas Priekšvēlēšanu aģitācijas likumā un Politisko organizāciju (partiju) finansēšanas likumā noteiktās prasības, kā arī Biroja pārstāvji atbildēja uz</w:t>
      </w:r>
      <w:r w:rsidR="005F7883">
        <w:rPr>
          <w:rFonts w:ascii="Times New Roman" w:eastAsia="Times New Roman" w:hAnsi="Times New Roman" w:cs="Times New Roman"/>
          <w:sz w:val="24"/>
          <w:szCs w:val="24"/>
          <w:lang w:eastAsia="lv-LV"/>
        </w:rPr>
        <w:t xml:space="preserve"> </w:t>
      </w:r>
      <w:r w:rsidR="003C1E62">
        <w:rPr>
          <w:rFonts w:ascii="Times New Roman" w:eastAsia="Times New Roman" w:hAnsi="Times New Roman" w:cs="Times New Roman"/>
          <w:sz w:val="24"/>
          <w:szCs w:val="24"/>
          <w:lang w:eastAsia="lv-LV"/>
        </w:rPr>
        <w:t xml:space="preserve">politisko </w:t>
      </w:r>
      <w:r w:rsidR="005F7883">
        <w:rPr>
          <w:rFonts w:ascii="Times New Roman" w:eastAsia="Times New Roman" w:hAnsi="Times New Roman" w:cs="Times New Roman"/>
          <w:sz w:val="24"/>
          <w:szCs w:val="24"/>
          <w:lang w:eastAsia="lv-LV"/>
        </w:rPr>
        <w:t>partiju pārstāvju jautājumiem.</w:t>
      </w:r>
    </w:p>
    <w:p w:rsidR="002F101D" w:rsidRDefault="002F101D" w:rsidP="006C79D7">
      <w:pPr>
        <w:spacing w:after="0"/>
        <w:ind w:firstLine="709"/>
        <w:jc w:val="both"/>
        <w:rPr>
          <w:rFonts w:ascii="Times New Roman" w:eastAsia="Times New Roman" w:hAnsi="Times New Roman" w:cs="Times New Roman"/>
          <w:sz w:val="24"/>
          <w:szCs w:val="24"/>
          <w:lang w:eastAsia="lv-LV"/>
        </w:rPr>
      </w:pPr>
      <w:r w:rsidRPr="00F56DBE">
        <w:rPr>
          <w:rFonts w:ascii="Times New Roman" w:eastAsia="Times New Roman" w:hAnsi="Times New Roman" w:cs="Times New Roman"/>
          <w:sz w:val="24"/>
          <w:szCs w:val="24"/>
          <w:lang w:eastAsia="lv-LV"/>
        </w:rPr>
        <w:t xml:space="preserve">2017.gada 3.jūnijā Latvijā norisinājās pašvaldību vēlēšanas, kurās piedalījās 51 partija (partiju apvienība). Atbilstoši normatīvo aktu prasībām Birojs priekšvēlēšanu aģitācijas periodā (120 dienas pirms </w:t>
      </w:r>
      <w:r w:rsidRPr="004B44BB">
        <w:rPr>
          <w:rFonts w:ascii="Times New Roman" w:eastAsia="Times New Roman" w:hAnsi="Times New Roman" w:cs="Times New Roman"/>
          <w:sz w:val="24"/>
          <w:szCs w:val="24"/>
          <w:lang w:eastAsia="lv-LV"/>
        </w:rPr>
        <w:t xml:space="preserve">vēlēšanām) uzraudzīja, vai aģitācijas veicēji ievēro tiem noteiktos priekšvēlēšanu izdevumu ierobežojumus. </w:t>
      </w:r>
      <w:r w:rsidR="007C5948">
        <w:rPr>
          <w:rFonts w:ascii="Times New Roman" w:eastAsia="Calibri" w:hAnsi="Times New Roman" w:cs="Times New Roman"/>
          <w:sz w:val="24"/>
          <w:szCs w:val="24"/>
        </w:rPr>
        <w:t>Kontroles ietvaros Biroja amatpersonas apstrādāja 1925 saņemtos paziņojumus</w:t>
      </w:r>
      <w:r w:rsidRPr="004B44BB">
        <w:rPr>
          <w:rFonts w:ascii="Times New Roman" w:eastAsia="Calibri" w:hAnsi="Times New Roman" w:cs="Times New Roman"/>
          <w:sz w:val="24"/>
          <w:szCs w:val="24"/>
        </w:rPr>
        <w:t xml:space="preserve"> par noslēgtajiem līgumiem par priekšvēlēšanu aģitācijas izvietošanu, labdarības un sponsorēšanas pasākumiem, kā arī pasta izdevumiem, kā arī </w:t>
      </w:r>
      <w:r w:rsidR="007C5948">
        <w:rPr>
          <w:rFonts w:ascii="Times New Roman" w:eastAsia="Calibri" w:hAnsi="Times New Roman" w:cs="Times New Roman"/>
          <w:sz w:val="24"/>
          <w:szCs w:val="24"/>
        </w:rPr>
        <w:t>veica</w:t>
      </w:r>
      <w:r w:rsidRPr="004B44BB">
        <w:rPr>
          <w:rFonts w:ascii="Times New Roman" w:eastAsia="Calibri" w:hAnsi="Times New Roman" w:cs="Times New Roman"/>
          <w:sz w:val="24"/>
          <w:szCs w:val="24"/>
        </w:rPr>
        <w:t xml:space="preserve"> izbraukuma pārbaudes, pretpārbaudes, tajā skaitā </w:t>
      </w:r>
      <w:r w:rsidR="007C5948">
        <w:rPr>
          <w:rFonts w:ascii="Times New Roman" w:eastAsia="Calibri" w:hAnsi="Times New Roman" w:cs="Times New Roman"/>
          <w:sz w:val="24"/>
          <w:szCs w:val="24"/>
        </w:rPr>
        <w:t>veica</w:t>
      </w:r>
      <w:r w:rsidRPr="004B44BB">
        <w:rPr>
          <w:rFonts w:ascii="Times New Roman" w:eastAsia="Calibri" w:hAnsi="Times New Roman" w:cs="Times New Roman"/>
          <w:sz w:val="24"/>
          <w:szCs w:val="24"/>
        </w:rPr>
        <w:t xml:space="preserve"> Biroja rīcībā esošo datu par </w:t>
      </w:r>
      <w:r w:rsidRPr="004B44BB">
        <w:rPr>
          <w:rFonts w:ascii="Times New Roman" w:eastAsia="Calibri" w:hAnsi="Times New Roman" w:cs="Times New Roman"/>
          <w:sz w:val="24"/>
          <w:szCs w:val="24"/>
        </w:rPr>
        <w:lastRenderedPageBreak/>
        <w:t>priek</w:t>
      </w:r>
      <w:r w:rsidR="003C1E62">
        <w:rPr>
          <w:rFonts w:ascii="Times New Roman" w:eastAsia="Calibri" w:hAnsi="Times New Roman" w:cs="Times New Roman"/>
          <w:sz w:val="24"/>
          <w:szCs w:val="24"/>
        </w:rPr>
        <w:t>švēlēšanu tēriņiem salīdzināšanu</w:t>
      </w:r>
      <w:r w:rsidRPr="004B44BB">
        <w:rPr>
          <w:rFonts w:ascii="Times New Roman" w:eastAsia="Calibri" w:hAnsi="Times New Roman" w:cs="Times New Roman"/>
          <w:sz w:val="24"/>
          <w:szCs w:val="24"/>
        </w:rPr>
        <w:t xml:space="preserve"> ar neatkarīgā monitoringa (ārpakalpojums) datiem. </w:t>
      </w:r>
      <w:r w:rsidR="00D04E64">
        <w:rPr>
          <w:rFonts w:ascii="Times New Roman" w:eastAsia="Calibri" w:hAnsi="Times New Roman" w:cs="Times New Roman"/>
          <w:sz w:val="24"/>
          <w:szCs w:val="24"/>
        </w:rPr>
        <w:t xml:space="preserve">Pārskata periodā </w:t>
      </w:r>
      <w:r w:rsidR="007C5948">
        <w:rPr>
          <w:rFonts w:ascii="Times New Roman" w:eastAsia="Calibri" w:hAnsi="Times New Roman" w:cs="Times New Roman"/>
          <w:sz w:val="24"/>
          <w:szCs w:val="24"/>
        </w:rPr>
        <w:t>Birojs izanalizēja</w:t>
      </w:r>
      <w:r w:rsidRPr="004B44BB">
        <w:rPr>
          <w:rFonts w:ascii="Times New Roman" w:eastAsia="Calibri" w:hAnsi="Times New Roman" w:cs="Times New Roman"/>
          <w:sz w:val="24"/>
          <w:szCs w:val="24"/>
        </w:rPr>
        <w:t xml:space="preserve"> p</w:t>
      </w:r>
      <w:r w:rsidR="007C5948">
        <w:rPr>
          <w:rFonts w:ascii="Times New Roman" w:eastAsia="Calibri" w:hAnsi="Times New Roman" w:cs="Times New Roman"/>
          <w:sz w:val="24"/>
          <w:szCs w:val="24"/>
        </w:rPr>
        <w:t>olitisko partiju veiktos darījumus</w:t>
      </w:r>
      <w:r w:rsidRPr="004B44BB">
        <w:rPr>
          <w:rFonts w:ascii="Times New Roman" w:eastAsia="Calibri" w:hAnsi="Times New Roman" w:cs="Times New Roman"/>
          <w:sz w:val="24"/>
          <w:szCs w:val="24"/>
        </w:rPr>
        <w:t xml:space="preserve"> par kopējo summu </w:t>
      </w:r>
      <w:r w:rsidR="007C5948">
        <w:rPr>
          <w:rFonts w:ascii="Times New Roman" w:eastAsia="Times New Roman" w:hAnsi="Times New Roman" w:cs="Times New Roman"/>
          <w:sz w:val="24"/>
          <w:szCs w:val="24"/>
          <w:lang w:eastAsia="lv-LV"/>
        </w:rPr>
        <w:t>1 </w:t>
      </w:r>
      <w:r w:rsidRPr="004B44BB">
        <w:rPr>
          <w:rFonts w:ascii="Times New Roman" w:eastAsia="Times New Roman" w:hAnsi="Times New Roman" w:cs="Times New Roman"/>
          <w:sz w:val="24"/>
          <w:szCs w:val="24"/>
          <w:lang w:eastAsia="lv-LV"/>
        </w:rPr>
        <w:t xml:space="preserve">206 353,31 </w:t>
      </w:r>
      <w:proofErr w:type="spellStart"/>
      <w:r w:rsidRPr="004B44BB">
        <w:rPr>
          <w:rFonts w:ascii="Times New Roman" w:eastAsia="Calibri" w:hAnsi="Times New Roman" w:cs="Times New Roman"/>
          <w:i/>
          <w:sz w:val="24"/>
          <w:szCs w:val="24"/>
        </w:rPr>
        <w:t>euro</w:t>
      </w:r>
      <w:proofErr w:type="spellEnd"/>
      <w:r w:rsidR="007C5948">
        <w:rPr>
          <w:rFonts w:ascii="Times New Roman" w:eastAsia="Calibri" w:hAnsi="Times New Roman" w:cs="Times New Roman"/>
          <w:sz w:val="24"/>
          <w:szCs w:val="24"/>
        </w:rPr>
        <w:t xml:space="preserve"> un trešo personu veiktos darījumus</w:t>
      </w:r>
      <w:r w:rsidRPr="004B44BB">
        <w:rPr>
          <w:rFonts w:ascii="Times New Roman" w:eastAsia="Calibri" w:hAnsi="Times New Roman" w:cs="Times New Roman"/>
          <w:sz w:val="24"/>
          <w:szCs w:val="24"/>
        </w:rPr>
        <w:t xml:space="preserve"> par kopējo summu </w:t>
      </w:r>
      <w:r w:rsidRPr="004B44BB">
        <w:rPr>
          <w:rFonts w:ascii="Times New Roman" w:eastAsia="Times New Roman" w:hAnsi="Times New Roman" w:cs="Times New Roman"/>
          <w:sz w:val="24"/>
          <w:szCs w:val="24"/>
          <w:lang w:eastAsia="lv-LV"/>
        </w:rPr>
        <w:t xml:space="preserve">81 834,48 </w:t>
      </w:r>
      <w:proofErr w:type="spellStart"/>
      <w:r w:rsidRPr="004B44BB">
        <w:rPr>
          <w:rFonts w:ascii="Times New Roman" w:eastAsia="Times New Roman" w:hAnsi="Times New Roman" w:cs="Times New Roman"/>
          <w:i/>
          <w:sz w:val="24"/>
          <w:szCs w:val="24"/>
          <w:lang w:eastAsia="lv-LV"/>
        </w:rPr>
        <w:t>euro</w:t>
      </w:r>
      <w:proofErr w:type="spellEnd"/>
      <w:r w:rsidRPr="004B44BB">
        <w:rPr>
          <w:rFonts w:ascii="Times New Roman" w:eastAsia="Times New Roman" w:hAnsi="Times New Roman" w:cs="Times New Roman"/>
          <w:sz w:val="24"/>
          <w:szCs w:val="24"/>
          <w:lang w:eastAsia="lv-LV"/>
        </w:rPr>
        <w:t>. Birojs konstatēja, ka pirms vēlēšanām neviena politiskā partija vai to apvienība, kā arī ar politiskajām partijām nesaistītā persona nepārsniedza likumā noteikto priekšvēlēšanu aģitācijas izdevumu apmēru vēlēšanu kampaņas izdevumiem.</w:t>
      </w:r>
      <w:r w:rsidR="007C5948">
        <w:rPr>
          <w:rFonts w:ascii="Times New Roman" w:eastAsia="Times New Roman" w:hAnsi="Times New Roman" w:cs="Times New Roman"/>
          <w:sz w:val="24"/>
          <w:szCs w:val="24"/>
          <w:lang w:eastAsia="lv-LV"/>
        </w:rPr>
        <w:t xml:space="preserve"> </w:t>
      </w:r>
    </w:p>
    <w:p w:rsidR="002F101D" w:rsidRPr="00F56DBE" w:rsidRDefault="002F101D" w:rsidP="006C79D7">
      <w:pPr>
        <w:spacing w:after="0"/>
        <w:ind w:firstLine="709"/>
        <w:jc w:val="both"/>
        <w:rPr>
          <w:rFonts w:ascii="Times New Roman" w:eastAsia="Times New Roman" w:hAnsi="Times New Roman" w:cs="Times New Roman"/>
          <w:sz w:val="24"/>
          <w:szCs w:val="24"/>
          <w:lang w:eastAsia="lv-LV"/>
        </w:rPr>
      </w:pPr>
      <w:r w:rsidRPr="004B44BB">
        <w:rPr>
          <w:rFonts w:ascii="Times New Roman" w:eastAsia="Times New Roman" w:hAnsi="Times New Roman" w:cs="Times New Roman"/>
          <w:sz w:val="24"/>
          <w:szCs w:val="24"/>
          <w:lang w:eastAsia="lv-LV"/>
        </w:rPr>
        <w:t>Saistībā ar iespējam</w:t>
      </w:r>
      <w:r w:rsidR="003C1E62">
        <w:rPr>
          <w:rFonts w:ascii="Times New Roman" w:eastAsia="Times New Roman" w:hAnsi="Times New Roman" w:cs="Times New Roman"/>
          <w:sz w:val="24"/>
          <w:szCs w:val="24"/>
          <w:lang w:eastAsia="lv-LV"/>
        </w:rPr>
        <w:t>aj</w:t>
      </w:r>
      <w:r w:rsidRPr="004B44BB">
        <w:rPr>
          <w:rFonts w:ascii="Times New Roman" w:eastAsia="Times New Roman" w:hAnsi="Times New Roman" w:cs="Times New Roman"/>
          <w:sz w:val="24"/>
          <w:szCs w:val="24"/>
          <w:lang w:eastAsia="lv-LV"/>
        </w:rPr>
        <w:t>iem priekšvēlēšanu aģitācijas periodā veiktajiem priekšvēlēšanu aģitācijas un partiju finansiālās darbības pārkāpumiem Birojs izskatīja 315 saņemtās sūdzības un iesniegum</w:t>
      </w:r>
      <w:r w:rsidR="0095516E">
        <w:rPr>
          <w:rFonts w:ascii="Times New Roman" w:eastAsia="Times New Roman" w:hAnsi="Times New Roman" w:cs="Times New Roman"/>
          <w:sz w:val="24"/>
          <w:szCs w:val="24"/>
          <w:lang w:eastAsia="lv-LV"/>
        </w:rPr>
        <w:t>u</w:t>
      </w:r>
      <w:r w:rsidRPr="004B44BB">
        <w:rPr>
          <w:rFonts w:ascii="Times New Roman" w:eastAsia="Times New Roman" w:hAnsi="Times New Roman" w:cs="Times New Roman"/>
          <w:sz w:val="24"/>
          <w:szCs w:val="24"/>
          <w:lang w:eastAsia="lv-LV"/>
        </w:rPr>
        <w:t>s. Iesniegumos vai sūdzībās gan fiziskās un juridiskās personas, gan politiskās partijas vai to apvienības lūdza Biroju skaidrot likumu normas un ziņoja par konkrētiem gadījumiem, kad</w:t>
      </w:r>
      <w:r w:rsidR="003C79FC">
        <w:rPr>
          <w:rFonts w:ascii="Times New Roman" w:eastAsia="Times New Roman" w:hAnsi="Times New Roman" w:cs="Times New Roman"/>
          <w:sz w:val="24"/>
          <w:szCs w:val="24"/>
          <w:lang w:eastAsia="lv-LV"/>
        </w:rPr>
        <w:t>,</w:t>
      </w:r>
      <w:r w:rsidRPr="004B44BB">
        <w:rPr>
          <w:rFonts w:ascii="Times New Roman" w:eastAsia="Times New Roman" w:hAnsi="Times New Roman" w:cs="Times New Roman"/>
          <w:sz w:val="24"/>
          <w:szCs w:val="24"/>
          <w:lang w:eastAsia="lv-LV"/>
        </w:rPr>
        <w:t xml:space="preserve"> iespējams</w:t>
      </w:r>
      <w:r w:rsidR="003C79FC">
        <w:rPr>
          <w:rFonts w:ascii="Times New Roman" w:eastAsia="Times New Roman" w:hAnsi="Times New Roman" w:cs="Times New Roman"/>
          <w:sz w:val="24"/>
          <w:szCs w:val="24"/>
          <w:lang w:eastAsia="lv-LV"/>
        </w:rPr>
        <w:t>,</w:t>
      </w:r>
      <w:r w:rsidRPr="004B44BB">
        <w:rPr>
          <w:rFonts w:ascii="Times New Roman" w:eastAsia="Times New Roman" w:hAnsi="Times New Roman" w:cs="Times New Roman"/>
          <w:sz w:val="24"/>
          <w:szCs w:val="24"/>
          <w:lang w:eastAsia="lv-LV"/>
        </w:rPr>
        <w:t xml:space="preserve"> pārkāpti priekšvēlēšanu aģitācijas ierobežojumi</w:t>
      </w:r>
      <w:r w:rsidRPr="00F56DBE">
        <w:rPr>
          <w:rFonts w:ascii="Times New Roman" w:eastAsia="Times New Roman" w:hAnsi="Times New Roman" w:cs="Times New Roman"/>
          <w:sz w:val="24"/>
          <w:szCs w:val="24"/>
          <w:lang w:eastAsia="lv-LV"/>
        </w:rPr>
        <w:t>, izmantoti valsts vai pašvaldību administratīvie resursi priekšvēlēšanu aģitācijas veikšanai, kā arī pārkāpti partiju finansēšanas noteikumi. Pārbaudot minētos iesniegumus, Birojs 93 gadījumos sniedza normatīvo aktu piemērošanas skaidrojumus, veica 17 pārbaudes par iespējamo administratīvo resursu izmantošanu priekšvēlēšanu aģitācijas veikšanai, kā arī veica 205 pārbaudes par iespējamo slēpto priekšvēlēšanu aģitāciju pirms pašvaldību vēlēšanām un par iespējamiem priekšvēlēšanu aģitācijas un partiju finansēšanas noteikumu pārkāpumiem.</w:t>
      </w:r>
    </w:p>
    <w:p w:rsidR="002F101D" w:rsidRDefault="002F101D" w:rsidP="006C79D7">
      <w:pPr>
        <w:spacing w:after="0"/>
        <w:ind w:firstLine="709"/>
        <w:jc w:val="both"/>
        <w:rPr>
          <w:rFonts w:ascii="Times New Roman" w:eastAsia="Times New Roman" w:hAnsi="Times New Roman" w:cs="Times New Roman"/>
          <w:sz w:val="24"/>
          <w:szCs w:val="24"/>
          <w:lang w:eastAsia="lv-LV"/>
        </w:rPr>
      </w:pPr>
      <w:r w:rsidRPr="00F56DBE">
        <w:rPr>
          <w:rFonts w:ascii="Times New Roman" w:eastAsia="Times New Roman" w:hAnsi="Times New Roman" w:cs="Times New Roman"/>
          <w:sz w:val="24"/>
          <w:szCs w:val="24"/>
          <w:lang w:eastAsia="lv-LV"/>
        </w:rPr>
        <w:t xml:space="preserve">2017.gada 120 dienu ilgajā priekšvēlēšanu aģitācijas periodā publicēta un pārbaudīta informācija par politisko partiju un to apvienību 3897 saņemtajiem dāvinājumiem (ziedojumiem) par kopējo summu 1 770 979,98 </w:t>
      </w:r>
      <w:proofErr w:type="spellStart"/>
      <w:r w:rsidRPr="00F56DBE">
        <w:rPr>
          <w:rFonts w:ascii="Times New Roman" w:eastAsia="Times New Roman" w:hAnsi="Times New Roman" w:cs="Times New Roman"/>
          <w:i/>
          <w:sz w:val="24"/>
          <w:szCs w:val="24"/>
          <w:lang w:eastAsia="lv-LV"/>
        </w:rPr>
        <w:t>euro</w:t>
      </w:r>
      <w:proofErr w:type="spellEnd"/>
      <w:r w:rsidRPr="00F56DBE">
        <w:rPr>
          <w:rFonts w:ascii="Times New Roman" w:eastAsia="Times New Roman" w:hAnsi="Times New Roman" w:cs="Times New Roman"/>
          <w:sz w:val="24"/>
          <w:szCs w:val="24"/>
          <w:lang w:eastAsia="lv-LV"/>
        </w:rPr>
        <w:t>.</w:t>
      </w:r>
      <w:r w:rsidR="009D0E62">
        <w:rPr>
          <w:rFonts w:ascii="Times New Roman" w:eastAsia="Times New Roman" w:hAnsi="Times New Roman" w:cs="Times New Roman"/>
          <w:sz w:val="24"/>
          <w:szCs w:val="24"/>
          <w:lang w:eastAsia="lv-LV"/>
        </w:rPr>
        <w:t xml:space="preserve"> </w:t>
      </w:r>
      <w:r w:rsidR="00A46773">
        <w:rPr>
          <w:rFonts w:ascii="Times New Roman" w:eastAsia="Times New Roman" w:hAnsi="Times New Roman" w:cs="Times New Roman"/>
          <w:sz w:val="24"/>
          <w:szCs w:val="24"/>
          <w:lang w:eastAsia="lv-LV"/>
        </w:rPr>
        <w:t>P</w:t>
      </w:r>
      <w:r w:rsidR="00A46773" w:rsidRPr="00F56DBE">
        <w:rPr>
          <w:rFonts w:ascii="Times New Roman" w:eastAsia="Times New Roman" w:hAnsi="Times New Roman" w:cs="Times New Roman"/>
          <w:sz w:val="24"/>
          <w:szCs w:val="24"/>
          <w:lang w:eastAsia="lv-LV"/>
        </w:rPr>
        <w:t>riekšvēlēšanu aģitācijas periodā</w:t>
      </w:r>
      <w:r w:rsidR="00A46773">
        <w:rPr>
          <w:rFonts w:ascii="Times New Roman" w:eastAsia="Times New Roman" w:hAnsi="Times New Roman" w:cs="Times New Roman"/>
          <w:sz w:val="24"/>
          <w:szCs w:val="24"/>
          <w:lang w:eastAsia="lv-LV"/>
        </w:rPr>
        <w:t xml:space="preserve"> (120 dienas pirms vēlēšanām) partiju saņemto ziedojumu kopējais apmērs ir atspoguļots 6.attēlā.</w:t>
      </w:r>
    </w:p>
    <w:p w:rsidR="00D04E64" w:rsidRDefault="00D04E64" w:rsidP="006C79D7">
      <w:pPr>
        <w:spacing w:before="240" w:after="0"/>
        <w:ind w:firstLine="709"/>
        <w:jc w:val="both"/>
        <w:rPr>
          <w:rFonts w:ascii="Times New Roman" w:eastAsia="Times New Roman" w:hAnsi="Times New Roman" w:cs="Times New Roman"/>
          <w:sz w:val="24"/>
          <w:szCs w:val="24"/>
          <w:lang w:eastAsia="lv-LV"/>
        </w:rPr>
      </w:pPr>
      <w:r>
        <w:rPr>
          <w:noProof/>
          <w:lang w:eastAsia="lv-LV"/>
        </w:rPr>
        <w:drawing>
          <wp:inline distT="0" distB="0" distL="0" distR="0" wp14:anchorId="6C828329" wp14:editId="65EE9A01">
            <wp:extent cx="4619625" cy="2976563"/>
            <wp:effectExtent l="0" t="0" r="952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6773" w:rsidRPr="00C41916" w:rsidRDefault="00A46773" w:rsidP="006C79D7">
      <w:pPr>
        <w:pStyle w:val="Default"/>
        <w:spacing w:line="276" w:lineRule="auto"/>
        <w:jc w:val="center"/>
        <w:rPr>
          <w:i/>
          <w:color w:val="auto"/>
          <w:sz w:val="22"/>
          <w:szCs w:val="22"/>
        </w:rPr>
      </w:pPr>
      <w:r>
        <w:rPr>
          <w:i/>
          <w:color w:val="auto"/>
          <w:sz w:val="22"/>
          <w:szCs w:val="22"/>
        </w:rPr>
        <w:t>6</w:t>
      </w:r>
      <w:r w:rsidRPr="00C41916">
        <w:rPr>
          <w:i/>
          <w:color w:val="auto"/>
          <w:sz w:val="22"/>
          <w:szCs w:val="22"/>
        </w:rPr>
        <w:t xml:space="preserve">.attēls. </w:t>
      </w:r>
      <w:r>
        <w:rPr>
          <w:i/>
          <w:color w:val="auto"/>
          <w:sz w:val="22"/>
          <w:szCs w:val="22"/>
        </w:rPr>
        <w:t>Ziedojumi partijām</w:t>
      </w:r>
    </w:p>
    <w:p w:rsidR="00A46773" w:rsidRDefault="00A46773" w:rsidP="006C79D7">
      <w:pPr>
        <w:spacing w:after="0"/>
        <w:ind w:firstLine="709"/>
        <w:jc w:val="both"/>
        <w:rPr>
          <w:rFonts w:ascii="Times New Roman" w:eastAsia="Times New Roman" w:hAnsi="Times New Roman" w:cs="Times New Roman"/>
          <w:sz w:val="24"/>
          <w:szCs w:val="24"/>
          <w:lang w:eastAsia="lv-LV"/>
        </w:rPr>
      </w:pPr>
    </w:p>
    <w:p w:rsidR="002F101D" w:rsidRPr="00F56DBE" w:rsidRDefault="00A46773" w:rsidP="006C79D7">
      <w:pPr>
        <w:spacing w:after="0"/>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2F101D" w:rsidRPr="00F56DBE">
        <w:rPr>
          <w:rFonts w:ascii="Times New Roman" w:eastAsia="Times New Roman" w:hAnsi="Times New Roman" w:cs="Times New Roman"/>
          <w:sz w:val="24"/>
          <w:szCs w:val="24"/>
          <w:lang w:eastAsia="lv-LV"/>
        </w:rPr>
        <w:t>askaņā ar Politisko organizāciju (partiju) finansēšanas likumā noteiktajām prasībām līdz 2017.gada 3.jūlijam politiskajām partijām, kas bija iesniegušas deputātu kandidātu sarakstus uz pašvaldību vēlēšanām, bija jāiesniedz vēlēšanu ieņēmumu un izdevumu deklarācijas, norādot priekšvēlēšanu ieņēmumus un izdevumus par laika posmu no 2017.gada 4.februāra līdz vēlēšanu dienai 2017.gada 3.jūnijam.</w:t>
      </w:r>
    </w:p>
    <w:p w:rsidR="002F101D" w:rsidRPr="00F56DBE" w:rsidRDefault="002F101D" w:rsidP="006C79D7">
      <w:pPr>
        <w:spacing w:after="0"/>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F56DBE">
        <w:rPr>
          <w:rFonts w:ascii="Times New Roman" w:eastAsia="Times New Roman" w:hAnsi="Times New Roman" w:cs="Times New Roman"/>
          <w:sz w:val="24"/>
          <w:szCs w:val="24"/>
          <w:lang w:eastAsia="lv-LV"/>
        </w:rPr>
        <w:t xml:space="preserve">o 51 politiskās partijas, kas piedalījās pašvaldību vēlēšanās, 8 partijas likumā noteiktajā termiņā neiesniedza savas vēlēšanu ieņēmumu un izdevumu deklarācijas. Par </w:t>
      </w:r>
      <w:r w:rsidRPr="00F56DBE">
        <w:rPr>
          <w:rFonts w:ascii="Times New Roman" w:eastAsia="Times New Roman" w:hAnsi="Times New Roman" w:cs="Times New Roman"/>
          <w:sz w:val="24"/>
          <w:szCs w:val="24"/>
          <w:lang w:eastAsia="lv-LV"/>
        </w:rPr>
        <w:lastRenderedPageBreak/>
        <w:t>vēlēšanu ieņēmumu un izdevumu deklarāciju neiesniegšanu vai savlaicīgu neiesniegšanu, Birojs sauca pie administratīvās atbildības 8 politiskās partijas, uzliekot naudas sodu</w:t>
      </w:r>
      <w:r w:rsidR="00963D8A">
        <w:rPr>
          <w:rFonts w:ascii="Times New Roman" w:eastAsia="Times New Roman" w:hAnsi="Times New Roman" w:cs="Times New Roman"/>
          <w:sz w:val="24"/>
          <w:szCs w:val="24"/>
          <w:lang w:eastAsia="lv-LV"/>
        </w:rPr>
        <w:t>s</w:t>
      </w:r>
      <w:r w:rsidR="008E6C7D">
        <w:rPr>
          <w:rFonts w:ascii="Times New Roman" w:eastAsia="Times New Roman" w:hAnsi="Times New Roman" w:cs="Times New Roman"/>
          <w:sz w:val="24"/>
          <w:szCs w:val="24"/>
          <w:lang w:eastAsia="lv-LV"/>
        </w:rPr>
        <w:t xml:space="preserve"> 850 </w:t>
      </w:r>
      <w:proofErr w:type="spellStart"/>
      <w:r w:rsidRPr="00F56DBE">
        <w:rPr>
          <w:rFonts w:ascii="Times New Roman" w:eastAsia="Times New Roman" w:hAnsi="Times New Roman" w:cs="Times New Roman"/>
          <w:i/>
          <w:sz w:val="24"/>
          <w:szCs w:val="24"/>
          <w:lang w:eastAsia="lv-LV"/>
        </w:rPr>
        <w:t>euro</w:t>
      </w:r>
      <w:proofErr w:type="spellEnd"/>
      <w:r w:rsidRPr="00F56DBE">
        <w:rPr>
          <w:rFonts w:ascii="Times New Roman" w:eastAsia="Times New Roman" w:hAnsi="Times New Roman" w:cs="Times New Roman"/>
          <w:sz w:val="24"/>
          <w:szCs w:val="24"/>
          <w:lang w:eastAsia="lv-LV"/>
        </w:rPr>
        <w:t xml:space="preserve"> apmērā.</w:t>
      </w:r>
    </w:p>
    <w:p w:rsidR="002F101D" w:rsidRPr="00F56DBE" w:rsidRDefault="002F101D" w:rsidP="006C79D7">
      <w:pPr>
        <w:spacing w:after="0"/>
        <w:ind w:firstLine="709"/>
        <w:jc w:val="both"/>
        <w:rPr>
          <w:rFonts w:ascii="Times New Roman" w:eastAsia="Times New Roman" w:hAnsi="Times New Roman" w:cs="Times New Roman"/>
          <w:sz w:val="24"/>
          <w:szCs w:val="24"/>
          <w:lang w:eastAsia="lv-LV"/>
        </w:rPr>
      </w:pPr>
      <w:r w:rsidRPr="00F56DBE">
        <w:rPr>
          <w:rFonts w:ascii="Times New Roman" w:eastAsia="Times New Roman" w:hAnsi="Times New Roman" w:cs="Times New Roman"/>
          <w:sz w:val="24"/>
          <w:szCs w:val="24"/>
          <w:lang w:eastAsia="lv-LV"/>
        </w:rPr>
        <w:t xml:space="preserve">Pārbaudot politisko partiju un to apvienību vēlēšanu ieņēmumu un izdevumu deklarācijas un priekšvēlēšanu aģitācijas ierobežojumu ievērošanu, </w:t>
      </w:r>
      <w:r w:rsidR="009D0E62">
        <w:rPr>
          <w:rFonts w:ascii="Times New Roman" w:eastAsia="Times New Roman" w:hAnsi="Times New Roman" w:cs="Times New Roman"/>
          <w:sz w:val="24"/>
          <w:szCs w:val="24"/>
          <w:lang w:eastAsia="lv-LV"/>
        </w:rPr>
        <w:t>Birojs konstatēja</w:t>
      </w:r>
      <w:r w:rsidRPr="00F56DBE">
        <w:rPr>
          <w:rFonts w:ascii="Times New Roman" w:eastAsia="Times New Roman" w:hAnsi="Times New Roman" w:cs="Times New Roman"/>
          <w:sz w:val="24"/>
          <w:szCs w:val="24"/>
          <w:lang w:eastAsia="lv-LV"/>
        </w:rPr>
        <w:t xml:space="preserve">, ka </w:t>
      </w:r>
      <w:r>
        <w:rPr>
          <w:rFonts w:ascii="Times New Roman" w:eastAsia="Times New Roman" w:hAnsi="Times New Roman" w:cs="Times New Roman"/>
          <w:sz w:val="24"/>
          <w:szCs w:val="24"/>
          <w:lang w:eastAsia="lv-LV"/>
        </w:rPr>
        <w:t xml:space="preserve">31 </w:t>
      </w:r>
      <w:r w:rsidRPr="00F56DBE">
        <w:rPr>
          <w:rFonts w:ascii="Times New Roman" w:eastAsia="Times New Roman" w:hAnsi="Times New Roman" w:cs="Times New Roman"/>
          <w:sz w:val="24"/>
          <w:szCs w:val="24"/>
          <w:lang w:eastAsia="lv-LV"/>
        </w:rPr>
        <w:t>politisk</w:t>
      </w:r>
      <w:r>
        <w:rPr>
          <w:rFonts w:ascii="Times New Roman" w:eastAsia="Times New Roman" w:hAnsi="Times New Roman" w:cs="Times New Roman"/>
          <w:sz w:val="24"/>
          <w:szCs w:val="24"/>
          <w:lang w:eastAsia="lv-LV"/>
        </w:rPr>
        <w:t>ā partija</w:t>
      </w:r>
      <w:r w:rsidRPr="00F56DBE">
        <w:rPr>
          <w:rFonts w:ascii="Times New Roman" w:eastAsia="Times New Roman" w:hAnsi="Times New Roman" w:cs="Times New Roman"/>
          <w:sz w:val="24"/>
          <w:szCs w:val="24"/>
          <w:lang w:eastAsia="lv-LV"/>
        </w:rPr>
        <w:t xml:space="preserve"> nav norādīju</w:t>
      </w:r>
      <w:r>
        <w:rPr>
          <w:rFonts w:ascii="Times New Roman" w:eastAsia="Times New Roman" w:hAnsi="Times New Roman" w:cs="Times New Roman"/>
          <w:sz w:val="24"/>
          <w:szCs w:val="24"/>
          <w:lang w:eastAsia="lv-LV"/>
        </w:rPr>
        <w:t>si</w:t>
      </w:r>
      <w:r w:rsidRPr="00F56DBE">
        <w:rPr>
          <w:rFonts w:ascii="Times New Roman" w:eastAsia="Times New Roman" w:hAnsi="Times New Roman" w:cs="Times New Roman"/>
          <w:sz w:val="24"/>
          <w:szCs w:val="24"/>
          <w:lang w:eastAsia="lv-LV"/>
        </w:rPr>
        <w:t xml:space="preserve"> visus savus priekšvēlēšanu ieņēmumus un izdevumus un pieņēmu</w:t>
      </w:r>
      <w:r>
        <w:rPr>
          <w:rFonts w:ascii="Times New Roman" w:eastAsia="Times New Roman" w:hAnsi="Times New Roman" w:cs="Times New Roman"/>
          <w:sz w:val="24"/>
          <w:szCs w:val="24"/>
          <w:lang w:eastAsia="lv-LV"/>
        </w:rPr>
        <w:t>si</w:t>
      </w:r>
      <w:r w:rsidRPr="00F56DBE">
        <w:rPr>
          <w:rFonts w:ascii="Times New Roman" w:eastAsia="Times New Roman" w:hAnsi="Times New Roman" w:cs="Times New Roman"/>
          <w:sz w:val="24"/>
          <w:szCs w:val="24"/>
          <w:lang w:eastAsia="lv-LV"/>
        </w:rPr>
        <w:t xml:space="preserve"> neatļautus dāvinājumus no juridiskajām personām, kā arī </w:t>
      </w:r>
      <w:r w:rsidR="0095516E">
        <w:rPr>
          <w:rFonts w:ascii="Times New Roman" w:eastAsia="Times New Roman" w:hAnsi="Times New Roman" w:cs="Times New Roman"/>
          <w:sz w:val="24"/>
          <w:szCs w:val="24"/>
          <w:lang w:eastAsia="lv-LV"/>
        </w:rPr>
        <w:t>nav ievērojusi</w:t>
      </w:r>
      <w:r w:rsidRPr="00F56DBE">
        <w:rPr>
          <w:rFonts w:ascii="Times New Roman" w:eastAsia="Times New Roman" w:hAnsi="Times New Roman" w:cs="Times New Roman"/>
          <w:sz w:val="24"/>
          <w:szCs w:val="24"/>
          <w:lang w:eastAsia="lv-LV"/>
        </w:rPr>
        <w:t xml:space="preserve"> priekšvēlēšanu aģitācijas ierobežojum</w:t>
      </w:r>
      <w:r>
        <w:rPr>
          <w:rFonts w:ascii="Times New Roman" w:eastAsia="Times New Roman" w:hAnsi="Times New Roman" w:cs="Times New Roman"/>
          <w:sz w:val="24"/>
          <w:szCs w:val="24"/>
          <w:lang w:eastAsia="lv-LV"/>
        </w:rPr>
        <w:t>us, proti:</w:t>
      </w:r>
    </w:p>
    <w:p w:rsidR="002F101D" w:rsidRPr="00F56DBE" w:rsidRDefault="002F101D" w:rsidP="006C79D7">
      <w:pPr>
        <w:widowControl w:val="0"/>
        <w:numPr>
          <w:ilvl w:val="0"/>
          <w:numId w:val="16"/>
        </w:numPr>
        <w:tabs>
          <w:tab w:val="left" w:pos="851"/>
        </w:tabs>
        <w:spacing w:after="0"/>
        <w:ind w:right="23" w:firstLine="709"/>
        <w:jc w:val="both"/>
        <w:rPr>
          <w:rFonts w:ascii="Times New Roman" w:eastAsia="Times New Roman" w:hAnsi="Times New Roman" w:cs="Times New Roman"/>
          <w:sz w:val="24"/>
          <w:szCs w:val="24"/>
        </w:rPr>
      </w:pPr>
      <w:r w:rsidRPr="00F56DBE">
        <w:rPr>
          <w:rFonts w:ascii="Times New Roman" w:eastAsia="Times New Roman" w:hAnsi="Times New Roman" w:cs="Times New Roman"/>
          <w:sz w:val="24"/>
          <w:szCs w:val="24"/>
        </w:rPr>
        <w:t xml:space="preserve">20 politiskās partijas un to apvienības norādīja nepatiesas ziņas deklarācijā, kopumā nenorādot finanšu līdzekļus 80 592,90 </w:t>
      </w:r>
      <w:proofErr w:type="spellStart"/>
      <w:r w:rsidRPr="00F56DBE">
        <w:rPr>
          <w:rFonts w:ascii="Times New Roman" w:eastAsia="Times New Roman" w:hAnsi="Times New Roman" w:cs="Times New Roman"/>
          <w:i/>
          <w:sz w:val="24"/>
          <w:szCs w:val="24"/>
        </w:rPr>
        <w:t>euro</w:t>
      </w:r>
      <w:proofErr w:type="spellEnd"/>
      <w:r w:rsidRPr="00F56DBE">
        <w:rPr>
          <w:rFonts w:ascii="Times New Roman" w:eastAsia="Times New Roman" w:hAnsi="Times New Roman" w:cs="Times New Roman"/>
          <w:sz w:val="24"/>
          <w:szCs w:val="24"/>
        </w:rPr>
        <w:t xml:space="preserve"> apmērā;</w:t>
      </w:r>
    </w:p>
    <w:p w:rsidR="002F101D" w:rsidRPr="00F56DBE" w:rsidRDefault="002F101D" w:rsidP="006C79D7">
      <w:pPr>
        <w:widowControl w:val="0"/>
        <w:numPr>
          <w:ilvl w:val="0"/>
          <w:numId w:val="16"/>
        </w:numPr>
        <w:tabs>
          <w:tab w:val="left" w:pos="851"/>
        </w:tabs>
        <w:spacing w:after="0"/>
        <w:ind w:right="23" w:firstLine="709"/>
        <w:jc w:val="both"/>
        <w:rPr>
          <w:rFonts w:ascii="Times New Roman" w:eastAsia="Times New Roman" w:hAnsi="Times New Roman" w:cs="Times New Roman"/>
          <w:sz w:val="24"/>
          <w:szCs w:val="24"/>
        </w:rPr>
      </w:pPr>
      <w:r w:rsidRPr="00F56DBE">
        <w:rPr>
          <w:rFonts w:ascii="Times New Roman" w:eastAsia="Times New Roman" w:hAnsi="Times New Roman" w:cs="Times New Roman"/>
          <w:sz w:val="24"/>
          <w:szCs w:val="24"/>
        </w:rPr>
        <w:t>25 politiskās partijas un to apvienības neievēroja priekšvēlēšanu aģitācijas materiālu izvietošanas vai uzskaites kārtību;</w:t>
      </w:r>
    </w:p>
    <w:p w:rsidR="002F101D" w:rsidRPr="00F56DBE" w:rsidRDefault="002F101D" w:rsidP="006C79D7">
      <w:pPr>
        <w:widowControl w:val="0"/>
        <w:numPr>
          <w:ilvl w:val="0"/>
          <w:numId w:val="16"/>
        </w:numPr>
        <w:tabs>
          <w:tab w:val="left" w:pos="851"/>
        </w:tabs>
        <w:spacing w:after="0"/>
        <w:ind w:right="23" w:firstLine="709"/>
        <w:jc w:val="both"/>
        <w:rPr>
          <w:rFonts w:ascii="Times New Roman" w:eastAsia="Times New Roman" w:hAnsi="Times New Roman" w:cs="Times New Roman"/>
          <w:sz w:val="24"/>
          <w:szCs w:val="24"/>
        </w:rPr>
      </w:pPr>
      <w:r w:rsidRPr="00F56DBE">
        <w:rPr>
          <w:rFonts w:ascii="Times New Roman" w:eastAsia="Times New Roman" w:hAnsi="Times New Roman" w:cs="Times New Roman"/>
          <w:sz w:val="24"/>
          <w:szCs w:val="24"/>
        </w:rPr>
        <w:t>17 politiskās partijas un to apvienības neievēroja likumā noteiktā paziņojuma par paredzamo priekšvēlēšanu aģitācijas materiālu izvietošanu iesniegšanas kārtību;</w:t>
      </w:r>
    </w:p>
    <w:p w:rsidR="002F101D" w:rsidRPr="00F56DBE" w:rsidRDefault="002F101D" w:rsidP="006C79D7">
      <w:pPr>
        <w:widowControl w:val="0"/>
        <w:numPr>
          <w:ilvl w:val="0"/>
          <w:numId w:val="16"/>
        </w:numPr>
        <w:tabs>
          <w:tab w:val="left" w:pos="851"/>
        </w:tabs>
        <w:spacing w:after="0"/>
        <w:ind w:right="23" w:firstLine="709"/>
        <w:jc w:val="both"/>
        <w:rPr>
          <w:rFonts w:ascii="Times New Roman" w:eastAsia="Times New Roman" w:hAnsi="Times New Roman" w:cs="Times New Roman"/>
          <w:sz w:val="24"/>
          <w:szCs w:val="24"/>
        </w:rPr>
      </w:pPr>
      <w:r w:rsidRPr="00F56DBE">
        <w:rPr>
          <w:rFonts w:ascii="Times New Roman" w:eastAsia="Times New Roman" w:hAnsi="Times New Roman" w:cs="Times New Roman"/>
          <w:sz w:val="24"/>
          <w:szCs w:val="24"/>
        </w:rPr>
        <w:t xml:space="preserve">6 politiskās partijas un to apvienības pieņēma neatļautus dāvinājumus (ziedojumus) no juridiskām personām 37 857,28 </w:t>
      </w:r>
      <w:proofErr w:type="spellStart"/>
      <w:r w:rsidRPr="00F56DBE">
        <w:rPr>
          <w:rFonts w:ascii="Times New Roman" w:eastAsia="Times New Roman" w:hAnsi="Times New Roman" w:cs="Times New Roman"/>
          <w:i/>
          <w:sz w:val="24"/>
          <w:szCs w:val="24"/>
        </w:rPr>
        <w:t>euro</w:t>
      </w:r>
      <w:proofErr w:type="spellEnd"/>
      <w:r w:rsidRPr="00F56DBE">
        <w:rPr>
          <w:rFonts w:ascii="Times New Roman" w:eastAsia="Times New Roman" w:hAnsi="Times New Roman" w:cs="Times New Roman"/>
          <w:sz w:val="24"/>
          <w:szCs w:val="24"/>
        </w:rPr>
        <w:t xml:space="preserve"> apmērā.</w:t>
      </w:r>
    </w:p>
    <w:p w:rsidR="002F101D" w:rsidRPr="00F56DBE" w:rsidRDefault="002F101D" w:rsidP="006C79D7">
      <w:pPr>
        <w:widowControl w:val="0"/>
        <w:tabs>
          <w:tab w:val="left" w:pos="851"/>
        </w:tabs>
        <w:spacing w:after="0"/>
        <w:ind w:right="23" w:firstLine="709"/>
        <w:jc w:val="both"/>
        <w:rPr>
          <w:rFonts w:ascii="Times New Roman" w:eastAsia="Times New Roman" w:hAnsi="Times New Roman" w:cs="Times New Roman"/>
          <w:sz w:val="24"/>
          <w:szCs w:val="24"/>
        </w:rPr>
      </w:pPr>
      <w:r w:rsidRPr="00F56DBE">
        <w:rPr>
          <w:rFonts w:ascii="Times New Roman" w:eastAsia="Times New Roman" w:hAnsi="Times New Roman" w:cs="Times New Roman"/>
          <w:sz w:val="24"/>
          <w:szCs w:val="24"/>
        </w:rPr>
        <w:t xml:space="preserve">Pārskata periodā, izvērtējot partiju un to apvienību pārkāpumus, Biroja amatpersonas pret 38 partijām vai to apvienībām uzsāka administratīvā pārkāpuma lietvedību. Trim no tām lietvedība izbeigta pārkāpuma mazsvarīguma dēļ, četrām partijām izteikti mutvārdu aizrādījumi, savukārt 31 </w:t>
      </w:r>
      <w:r>
        <w:rPr>
          <w:rFonts w:ascii="Times New Roman" w:eastAsia="Times New Roman" w:hAnsi="Times New Roman" w:cs="Times New Roman"/>
          <w:sz w:val="24"/>
          <w:szCs w:val="24"/>
        </w:rPr>
        <w:t xml:space="preserve">politiskajai </w:t>
      </w:r>
      <w:r w:rsidRPr="00F56DBE">
        <w:rPr>
          <w:rFonts w:ascii="Times New Roman" w:eastAsia="Times New Roman" w:hAnsi="Times New Roman" w:cs="Times New Roman"/>
          <w:sz w:val="24"/>
          <w:szCs w:val="24"/>
        </w:rPr>
        <w:t xml:space="preserve">partijai pieņemti lēmumi par to saukšanu pie administratīvās atbildības, uzliekot naudas sodu kopsummā 5770 </w:t>
      </w:r>
      <w:proofErr w:type="spellStart"/>
      <w:r w:rsidRPr="00F56DBE">
        <w:rPr>
          <w:rFonts w:ascii="Times New Roman" w:eastAsia="Times New Roman" w:hAnsi="Times New Roman" w:cs="Times New Roman"/>
          <w:i/>
          <w:sz w:val="24"/>
          <w:szCs w:val="24"/>
        </w:rPr>
        <w:t>euro</w:t>
      </w:r>
      <w:proofErr w:type="spellEnd"/>
      <w:r w:rsidRPr="00F56DBE">
        <w:rPr>
          <w:rFonts w:ascii="Times New Roman" w:eastAsia="Times New Roman" w:hAnsi="Times New Roman" w:cs="Times New Roman"/>
          <w:sz w:val="24"/>
          <w:szCs w:val="24"/>
        </w:rPr>
        <w:t xml:space="preserve">. </w:t>
      </w:r>
    </w:p>
    <w:p w:rsidR="002F101D" w:rsidRPr="00F56DBE" w:rsidRDefault="002F101D" w:rsidP="006C79D7">
      <w:pPr>
        <w:autoSpaceDE w:val="0"/>
        <w:autoSpaceDN w:val="0"/>
        <w:adjustRightInd w:val="0"/>
        <w:spacing w:after="0"/>
        <w:ind w:firstLine="709"/>
        <w:jc w:val="both"/>
        <w:rPr>
          <w:rFonts w:ascii="Times New Roman" w:hAnsi="Times New Roman" w:cs="Times New Roman"/>
          <w:sz w:val="24"/>
          <w:szCs w:val="24"/>
        </w:rPr>
      </w:pPr>
      <w:r w:rsidRPr="00F56DBE">
        <w:rPr>
          <w:rFonts w:ascii="Times New Roman" w:hAnsi="Times New Roman" w:cs="Times New Roman"/>
          <w:sz w:val="24"/>
          <w:szCs w:val="24"/>
        </w:rPr>
        <w:t>Savukārt par Politisko organizāciju (partiju) finansēšanas likuma un Priekšvēlēšanu aģitācijas likuma normu pārkāpumiem 2017.gadā Biroja amatpersonas ir uzsākušas 108 (pirmajā pusgadā 24, otrajā – 84) administratīvā pārkāpuma lietas</w:t>
      </w:r>
      <w:r w:rsidR="0095516E">
        <w:rPr>
          <w:rFonts w:ascii="Times New Roman" w:hAnsi="Times New Roman" w:cs="Times New Roman"/>
          <w:sz w:val="24"/>
          <w:szCs w:val="24"/>
        </w:rPr>
        <w:t xml:space="preserve"> pret</w:t>
      </w:r>
      <w:r w:rsidRPr="00F56DBE">
        <w:rPr>
          <w:rFonts w:ascii="Times New Roman" w:hAnsi="Times New Roman" w:cs="Times New Roman"/>
          <w:sz w:val="24"/>
          <w:szCs w:val="24"/>
        </w:rPr>
        <w:t xml:space="preserve"> partijām un fiziskām personām. Pārskata periodā ir pieņemti 6</w:t>
      </w:r>
      <w:r w:rsidR="0038658E">
        <w:rPr>
          <w:rFonts w:ascii="Times New Roman" w:hAnsi="Times New Roman" w:cs="Times New Roman"/>
          <w:sz w:val="24"/>
          <w:szCs w:val="24"/>
        </w:rPr>
        <w:t>0</w:t>
      </w:r>
      <w:r w:rsidRPr="00F56DBE">
        <w:rPr>
          <w:rFonts w:ascii="Times New Roman" w:hAnsi="Times New Roman" w:cs="Times New Roman"/>
          <w:sz w:val="24"/>
          <w:szCs w:val="24"/>
        </w:rPr>
        <w:t xml:space="preserve"> (pirmajā pusgadā 7, otrajā – </w:t>
      </w:r>
      <w:r w:rsidR="0038658E">
        <w:rPr>
          <w:rFonts w:ascii="Times New Roman" w:hAnsi="Times New Roman" w:cs="Times New Roman"/>
          <w:sz w:val="24"/>
          <w:szCs w:val="24"/>
        </w:rPr>
        <w:t>53</w:t>
      </w:r>
      <w:r w:rsidRPr="00F56DBE">
        <w:rPr>
          <w:rFonts w:ascii="Times New Roman" w:hAnsi="Times New Roman" w:cs="Times New Roman"/>
          <w:sz w:val="24"/>
          <w:szCs w:val="24"/>
        </w:rPr>
        <w:t xml:space="preserve">) lēmumi administratīvo pārkāpumu lietās, no kuriem </w:t>
      </w:r>
      <w:r w:rsidR="0038658E">
        <w:rPr>
          <w:rFonts w:ascii="Times New Roman" w:hAnsi="Times New Roman" w:cs="Times New Roman"/>
          <w:sz w:val="24"/>
          <w:szCs w:val="24"/>
        </w:rPr>
        <w:t>49</w:t>
      </w:r>
      <w:r w:rsidRPr="00F56DBE">
        <w:rPr>
          <w:rFonts w:ascii="Times New Roman" w:hAnsi="Times New Roman" w:cs="Times New Roman"/>
          <w:sz w:val="24"/>
          <w:szCs w:val="24"/>
        </w:rPr>
        <w:t xml:space="preserve"> (pirmajā </w:t>
      </w:r>
      <w:r w:rsidR="003C1E62">
        <w:rPr>
          <w:rFonts w:ascii="Times New Roman" w:hAnsi="Times New Roman" w:cs="Times New Roman"/>
          <w:sz w:val="24"/>
          <w:szCs w:val="24"/>
        </w:rPr>
        <w:t xml:space="preserve">pusgadā 7, otrajā – </w:t>
      </w:r>
      <w:r w:rsidR="00236EE8">
        <w:rPr>
          <w:rFonts w:ascii="Times New Roman" w:hAnsi="Times New Roman" w:cs="Times New Roman"/>
          <w:sz w:val="24"/>
          <w:szCs w:val="24"/>
        </w:rPr>
        <w:t>4</w:t>
      </w:r>
      <w:r w:rsidR="0038658E">
        <w:rPr>
          <w:rFonts w:ascii="Times New Roman" w:hAnsi="Times New Roman" w:cs="Times New Roman"/>
          <w:sz w:val="24"/>
          <w:szCs w:val="24"/>
        </w:rPr>
        <w:t>2</w:t>
      </w:r>
      <w:r w:rsidR="003C1E62">
        <w:rPr>
          <w:rFonts w:ascii="Times New Roman" w:hAnsi="Times New Roman" w:cs="Times New Roman"/>
          <w:sz w:val="24"/>
          <w:szCs w:val="24"/>
        </w:rPr>
        <w:t>) gadījumos</w:t>
      </w:r>
      <w:r w:rsidRPr="00F56DBE">
        <w:rPr>
          <w:rFonts w:ascii="Times New Roman" w:hAnsi="Times New Roman" w:cs="Times New Roman"/>
          <w:sz w:val="24"/>
          <w:szCs w:val="24"/>
        </w:rPr>
        <w:t xml:space="preserve"> ir piemērots naudas sods par gada pārskatu, biedru naudu un ziedojumu ziņojumu iesniegšanas kārtības neievērošanu </w:t>
      </w:r>
      <w:r w:rsidR="009D0E62" w:rsidRPr="00F56DBE">
        <w:rPr>
          <w:rFonts w:ascii="Times New Roman" w:hAnsi="Times New Roman" w:cs="Times New Roman"/>
          <w:sz w:val="24"/>
          <w:szCs w:val="24"/>
        </w:rPr>
        <w:t>kops</w:t>
      </w:r>
      <w:r w:rsidR="009D0E62">
        <w:rPr>
          <w:rFonts w:ascii="Times New Roman" w:hAnsi="Times New Roman" w:cs="Times New Roman"/>
          <w:sz w:val="24"/>
          <w:szCs w:val="24"/>
        </w:rPr>
        <w:t>ummā</w:t>
      </w:r>
      <w:r w:rsidRPr="00F56DBE">
        <w:rPr>
          <w:rFonts w:ascii="Times New Roman" w:hAnsi="Times New Roman" w:cs="Times New Roman"/>
          <w:sz w:val="24"/>
          <w:szCs w:val="24"/>
        </w:rPr>
        <w:t xml:space="preserve"> 7655 </w:t>
      </w:r>
      <w:proofErr w:type="spellStart"/>
      <w:r w:rsidR="00036365">
        <w:rPr>
          <w:rFonts w:ascii="Times New Roman" w:hAnsi="Times New Roman" w:cs="Times New Roman"/>
          <w:i/>
          <w:sz w:val="24"/>
          <w:szCs w:val="24"/>
        </w:rPr>
        <w:t>euro</w:t>
      </w:r>
      <w:proofErr w:type="spellEnd"/>
      <w:r w:rsidR="0038658E">
        <w:rPr>
          <w:rFonts w:ascii="Times New Roman" w:hAnsi="Times New Roman" w:cs="Times New Roman"/>
          <w:sz w:val="24"/>
          <w:szCs w:val="24"/>
        </w:rPr>
        <w:t>. S</w:t>
      </w:r>
      <w:r w:rsidRPr="00F56DBE">
        <w:rPr>
          <w:rFonts w:ascii="Times New Roman" w:hAnsi="Times New Roman" w:cs="Times New Roman"/>
          <w:color w:val="000000" w:themeColor="text1"/>
          <w:sz w:val="24"/>
          <w:szCs w:val="24"/>
        </w:rPr>
        <w:t xml:space="preserve">ešos gadījumos pieņemti lēmumi un piemērots naudas sods fiziskām vai juridiskām personām par priekšvēlēšanu aģitācijas kārtības neievērošanu, uzliekot naudas sodus kopsummā 320 </w:t>
      </w:r>
      <w:proofErr w:type="spellStart"/>
      <w:r w:rsidRPr="00F56DBE">
        <w:rPr>
          <w:rFonts w:ascii="Times New Roman" w:hAnsi="Times New Roman" w:cs="Times New Roman"/>
          <w:i/>
          <w:color w:val="000000" w:themeColor="text1"/>
          <w:sz w:val="24"/>
          <w:szCs w:val="24"/>
        </w:rPr>
        <w:t>euro</w:t>
      </w:r>
      <w:proofErr w:type="spellEnd"/>
      <w:r w:rsidRPr="00F56DBE">
        <w:rPr>
          <w:rFonts w:ascii="Times New Roman" w:hAnsi="Times New Roman" w:cs="Times New Roman"/>
          <w:color w:val="000000" w:themeColor="text1"/>
          <w:sz w:val="24"/>
          <w:szCs w:val="24"/>
        </w:rPr>
        <w:t>.</w:t>
      </w:r>
      <w:r w:rsidR="00A46773">
        <w:rPr>
          <w:rFonts w:ascii="Times New Roman" w:hAnsi="Times New Roman" w:cs="Times New Roman"/>
          <w:color w:val="000000" w:themeColor="text1"/>
          <w:sz w:val="24"/>
          <w:szCs w:val="24"/>
        </w:rPr>
        <w:t xml:space="preserve"> </w:t>
      </w:r>
      <w:r w:rsidR="00A46773" w:rsidRPr="00A46773">
        <w:rPr>
          <w:rFonts w:ascii="Times New Roman" w:hAnsi="Times New Roman" w:cs="Times New Roman"/>
          <w:color w:val="000000" w:themeColor="text1"/>
          <w:sz w:val="24"/>
          <w:szCs w:val="24"/>
        </w:rPr>
        <w:t xml:space="preserve">Pieņemtie lēmumi ir atspoguļoti </w:t>
      </w:r>
      <w:r w:rsidR="00A46773">
        <w:rPr>
          <w:rFonts w:ascii="Times New Roman" w:hAnsi="Times New Roman" w:cs="Times New Roman"/>
          <w:color w:val="000000" w:themeColor="text1"/>
          <w:sz w:val="24"/>
          <w:szCs w:val="24"/>
        </w:rPr>
        <w:t>7</w:t>
      </w:r>
      <w:r w:rsidR="00A46773" w:rsidRPr="00A46773">
        <w:rPr>
          <w:rFonts w:ascii="Times New Roman" w:hAnsi="Times New Roman" w:cs="Times New Roman"/>
          <w:color w:val="000000" w:themeColor="text1"/>
          <w:sz w:val="24"/>
          <w:szCs w:val="24"/>
        </w:rPr>
        <w:t>.attēlā.</w:t>
      </w:r>
    </w:p>
    <w:p w:rsidR="002F101D" w:rsidRPr="00F56DBE" w:rsidRDefault="002F101D" w:rsidP="006C79D7">
      <w:pPr>
        <w:spacing w:before="240" w:after="0"/>
        <w:jc w:val="center"/>
        <w:rPr>
          <w:rFonts w:ascii="Times New Roman" w:eastAsia="Times New Roman" w:hAnsi="Times New Roman" w:cs="Times New Roman"/>
          <w:sz w:val="24"/>
          <w:szCs w:val="24"/>
          <w:lang w:eastAsia="lv-LV"/>
        </w:rPr>
      </w:pPr>
      <w:r w:rsidRPr="00F56DBE">
        <w:rPr>
          <w:noProof/>
          <w:lang w:eastAsia="lv-LV"/>
        </w:rPr>
        <w:drawing>
          <wp:inline distT="0" distB="0" distL="0" distR="0" wp14:anchorId="0D96F79A" wp14:editId="73A57D40">
            <wp:extent cx="4985468" cy="2226365"/>
            <wp:effectExtent l="0" t="0" r="24765" b="215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101D" w:rsidRPr="00F56DBE" w:rsidRDefault="00A46773" w:rsidP="006C79D7">
      <w:pPr>
        <w:spacing w:after="0"/>
        <w:ind w:firstLine="567"/>
        <w:jc w:val="center"/>
        <w:rPr>
          <w:rFonts w:ascii="Times New Roman" w:hAnsi="Times New Roman" w:cs="Times New Roman"/>
          <w:b/>
          <w:i/>
          <w:sz w:val="24"/>
          <w:szCs w:val="24"/>
        </w:rPr>
      </w:pPr>
      <w:r>
        <w:rPr>
          <w:rFonts w:ascii="Times New Roman" w:hAnsi="Times New Roman" w:cs="Times New Roman"/>
          <w:i/>
          <w:sz w:val="24"/>
          <w:szCs w:val="24"/>
        </w:rPr>
        <w:t>7.attēls.</w:t>
      </w:r>
      <w:r w:rsidR="007D495E">
        <w:rPr>
          <w:rFonts w:ascii="Times New Roman" w:hAnsi="Times New Roman" w:cs="Times New Roman"/>
          <w:i/>
          <w:sz w:val="24"/>
          <w:szCs w:val="24"/>
        </w:rPr>
        <w:t xml:space="preserve"> </w:t>
      </w:r>
      <w:r w:rsidR="001B5854">
        <w:rPr>
          <w:rFonts w:ascii="Times New Roman" w:hAnsi="Times New Roman" w:cs="Times New Roman"/>
          <w:i/>
          <w:sz w:val="24"/>
          <w:szCs w:val="24"/>
        </w:rPr>
        <w:t>Administratīvo pārkāpumu lietās p</w:t>
      </w:r>
      <w:r>
        <w:rPr>
          <w:rFonts w:ascii="Times New Roman" w:hAnsi="Times New Roman" w:cs="Times New Roman"/>
          <w:i/>
          <w:sz w:val="24"/>
          <w:szCs w:val="24"/>
        </w:rPr>
        <w:t>ieņemto lēmumu skaits</w:t>
      </w:r>
    </w:p>
    <w:p w:rsidR="002F101D" w:rsidRPr="00F56DBE" w:rsidRDefault="002F101D" w:rsidP="006C79D7">
      <w:pPr>
        <w:spacing w:after="0"/>
        <w:ind w:firstLine="567"/>
        <w:jc w:val="both"/>
        <w:rPr>
          <w:rFonts w:ascii="Times New Roman" w:hAnsi="Times New Roman" w:cs="Times New Roman"/>
          <w:sz w:val="24"/>
          <w:szCs w:val="24"/>
        </w:rPr>
      </w:pPr>
    </w:p>
    <w:p w:rsidR="002F101D" w:rsidRPr="00F56DBE" w:rsidRDefault="002F101D" w:rsidP="006C79D7">
      <w:pPr>
        <w:spacing w:after="0"/>
        <w:ind w:firstLine="709"/>
        <w:jc w:val="both"/>
        <w:rPr>
          <w:rFonts w:ascii="Times New Roman" w:hAnsi="Times New Roman" w:cs="Times New Roman"/>
          <w:sz w:val="24"/>
          <w:szCs w:val="24"/>
        </w:rPr>
      </w:pPr>
      <w:r w:rsidRPr="00F56DBE">
        <w:rPr>
          <w:rFonts w:ascii="Times New Roman" w:hAnsi="Times New Roman" w:cs="Times New Roman"/>
          <w:sz w:val="24"/>
          <w:szCs w:val="24"/>
        </w:rPr>
        <w:lastRenderedPageBreak/>
        <w:t xml:space="preserve">Kopumā pārskata periodā (2017.gadā) saņemti un publicēti ziņojumi par 749 dāvinājumiem (ziedojumiem), kā arī 70 gada pārskati. </w:t>
      </w:r>
    </w:p>
    <w:p w:rsidR="002F101D" w:rsidRPr="00F56DBE" w:rsidRDefault="00A46773" w:rsidP="006C79D7">
      <w:pPr>
        <w:spacing w:after="0"/>
        <w:ind w:firstLine="709"/>
        <w:jc w:val="both"/>
        <w:rPr>
          <w:rFonts w:ascii="Times New Roman" w:hAnsi="Times New Roman" w:cs="Times New Roman"/>
          <w:sz w:val="24"/>
          <w:szCs w:val="24"/>
        </w:rPr>
      </w:pPr>
      <w:r>
        <w:rPr>
          <w:rFonts w:ascii="Times New Roman" w:hAnsi="Times New Roman" w:cs="Times New Roman"/>
          <w:sz w:val="24"/>
          <w:szCs w:val="24"/>
        </w:rPr>
        <w:t>P</w:t>
      </w:r>
      <w:r w:rsidR="003C1E62">
        <w:rPr>
          <w:rFonts w:ascii="Times New Roman" w:hAnsi="Times New Roman" w:cs="Times New Roman"/>
          <w:sz w:val="24"/>
          <w:szCs w:val="24"/>
        </w:rPr>
        <w:t>iecām politiskajā</w:t>
      </w:r>
      <w:r w:rsidR="002F101D" w:rsidRPr="00F56DBE">
        <w:rPr>
          <w:rFonts w:ascii="Times New Roman" w:hAnsi="Times New Roman" w:cs="Times New Roman"/>
          <w:sz w:val="24"/>
          <w:szCs w:val="24"/>
        </w:rPr>
        <w:t>m partijām (</w:t>
      </w:r>
      <w:r w:rsidR="002F101D" w:rsidRPr="00F56DBE">
        <w:rPr>
          <w:rFonts w:ascii="Times New Roman" w:hAnsi="Times New Roman" w:cs="Times New Roman"/>
          <w:i/>
          <w:sz w:val="24"/>
          <w:szCs w:val="24"/>
        </w:rPr>
        <w:t>Zaļo un Zemnieku savienība, Saskaņa sociāldemokrātiskā partija, Latvijas Reģionu Apvienība, Nacionālā apvienība Visu Latvijai!-Tēvzemei un Brīvībai/LNNK, No sirds Latvijai</w:t>
      </w:r>
      <w:r w:rsidR="002F101D" w:rsidRPr="00F56DBE">
        <w:rPr>
          <w:rFonts w:ascii="Times New Roman" w:hAnsi="Times New Roman" w:cs="Times New Roman"/>
          <w:sz w:val="24"/>
          <w:szCs w:val="24"/>
        </w:rPr>
        <w:t>)</w:t>
      </w:r>
      <w:r>
        <w:rPr>
          <w:rFonts w:ascii="Times New Roman" w:hAnsi="Times New Roman" w:cs="Times New Roman"/>
          <w:sz w:val="24"/>
          <w:szCs w:val="24"/>
        </w:rPr>
        <w:t xml:space="preserve"> 2017.gadā ir izmaksāts v</w:t>
      </w:r>
      <w:r w:rsidRPr="00F56DBE">
        <w:rPr>
          <w:rFonts w:ascii="Times New Roman" w:hAnsi="Times New Roman" w:cs="Times New Roman"/>
          <w:sz w:val="24"/>
          <w:szCs w:val="24"/>
        </w:rPr>
        <w:t xml:space="preserve">alsts budžeta finansējums </w:t>
      </w:r>
      <w:r w:rsidR="002F101D" w:rsidRPr="00F56DBE">
        <w:rPr>
          <w:rFonts w:ascii="Times New Roman" w:hAnsi="Times New Roman" w:cs="Times New Roman"/>
          <w:sz w:val="24"/>
          <w:szCs w:val="24"/>
        </w:rPr>
        <w:t xml:space="preserve">612 397,64 </w:t>
      </w:r>
      <w:proofErr w:type="spellStart"/>
      <w:r w:rsidR="002F101D" w:rsidRPr="00036365">
        <w:rPr>
          <w:rFonts w:ascii="Times New Roman" w:hAnsi="Times New Roman" w:cs="Times New Roman"/>
          <w:i/>
          <w:sz w:val="24"/>
          <w:szCs w:val="24"/>
        </w:rPr>
        <w:t>euro</w:t>
      </w:r>
      <w:proofErr w:type="spellEnd"/>
      <w:r w:rsidR="002F101D" w:rsidRPr="00F56DBE">
        <w:rPr>
          <w:rFonts w:ascii="Times New Roman" w:hAnsi="Times New Roman" w:cs="Times New Roman"/>
          <w:sz w:val="24"/>
          <w:szCs w:val="24"/>
        </w:rPr>
        <w:t xml:space="preserve"> apmērā. </w:t>
      </w:r>
    </w:p>
    <w:p w:rsidR="002F101D" w:rsidRDefault="00A46773" w:rsidP="006C79D7">
      <w:pPr>
        <w:spacing w:after="0"/>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Pārskata</w:t>
      </w:r>
      <w:r w:rsidR="002F101D" w:rsidRPr="00F56DBE">
        <w:rPr>
          <w:rFonts w:ascii="Times New Roman" w:eastAsia="Times New Roman" w:hAnsi="Times New Roman" w:cs="Times New Roman"/>
          <w:sz w:val="24"/>
          <w:szCs w:val="24"/>
          <w:lang w:eastAsia="lv-LV"/>
        </w:rPr>
        <w:t xml:space="preserve"> periodā partijas un to apvienības</w:t>
      </w:r>
      <w:r w:rsidR="003B5DB3">
        <w:rPr>
          <w:rFonts w:ascii="Times New Roman" w:eastAsia="Times New Roman" w:hAnsi="Times New Roman" w:cs="Times New Roman"/>
          <w:sz w:val="24"/>
          <w:szCs w:val="24"/>
          <w:lang w:eastAsia="lv-LV"/>
        </w:rPr>
        <w:t xml:space="preserve"> </w:t>
      </w:r>
      <w:r w:rsidR="002F101D" w:rsidRPr="00F56DBE">
        <w:rPr>
          <w:rFonts w:ascii="Times New Roman" w:eastAsia="Times New Roman" w:hAnsi="Times New Roman" w:cs="Times New Roman"/>
          <w:sz w:val="24"/>
          <w:szCs w:val="24"/>
          <w:lang w:eastAsia="lv-LV"/>
        </w:rPr>
        <w:t xml:space="preserve">atbilstoši Biroja pieņemtajiem lēmumiem ir atmaksājušas valsts budžetā pretlikumīgi saņemto finansējumu 6653,91 </w:t>
      </w:r>
      <w:proofErr w:type="spellStart"/>
      <w:r w:rsidR="00036365">
        <w:rPr>
          <w:rFonts w:ascii="Times New Roman" w:eastAsia="Times New Roman" w:hAnsi="Times New Roman" w:cs="Times New Roman"/>
          <w:i/>
          <w:sz w:val="24"/>
          <w:szCs w:val="24"/>
          <w:lang w:eastAsia="lv-LV"/>
        </w:rPr>
        <w:t>euro</w:t>
      </w:r>
      <w:proofErr w:type="spellEnd"/>
      <w:r w:rsidR="003C1E62">
        <w:rPr>
          <w:rFonts w:ascii="Times New Roman" w:eastAsia="Times New Roman" w:hAnsi="Times New Roman" w:cs="Times New Roman"/>
          <w:sz w:val="24"/>
          <w:szCs w:val="24"/>
          <w:lang w:eastAsia="lv-LV"/>
        </w:rPr>
        <w:t xml:space="preserve"> apmērā</w:t>
      </w:r>
      <w:r w:rsidR="002F101D" w:rsidRPr="00F56DBE">
        <w:rPr>
          <w:rFonts w:ascii="Times New Roman" w:eastAsia="Times New Roman" w:hAnsi="Times New Roman" w:cs="Times New Roman"/>
          <w:sz w:val="24"/>
          <w:szCs w:val="24"/>
          <w:lang w:eastAsia="lv-LV"/>
        </w:rPr>
        <w:t xml:space="preserve"> un naudas sodus 1403,42 </w:t>
      </w:r>
      <w:proofErr w:type="spellStart"/>
      <w:r w:rsidR="00036365">
        <w:rPr>
          <w:rFonts w:ascii="Times New Roman" w:eastAsia="Times New Roman" w:hAnsi="Times New Roman" w:cs="Times New Roman"/>
          <w:i/>
          <w:sz w:val="24"/>
          <w:szCs w:val="24"/>
          <w:lang w:eastAsia="lv-LV"/>
        </w:rPr>
        <w:t>euro</w:t>
      </w:r>
      <w:proofErr w:type="spellEnd"/>
      <w:r w:rsidR="002F101D" w:rsidRPr="00F56DBE">
        <w:rPr>
          <w:rFonts w:ascii="Times New Roman" w:eastAsia="Times New Roman" w:hAnsi="Times New Roman" w:cs="Times New Roman"/>
          <w:sz w:val="24"/>
          <w:szCs w:val="24"/>
          <w:lang w:eastAsia="lv-LV"/>
        </w:rPr>
        <w:t xml:space="preserve"> apmērā. </w:t>
      </w:r>
    </w:p>
    <w:p w:rsidR="00F9286E" w:rsidRPr="00F24C19" w:rsidRDefault="00F9286E" w:rsidP="00F24C19">
      <w:pPr>
        <w:spacing w:after="0"/>
        <w:ind w:firstLine="567"/>
        <w:jc w:val="both"/>
        <w:rPr>
          <w:rFonts w:ascii="Times New Roman" w:eastAsia="Times New Roman" w:hAnsi="Times New Roman" w:cs="Times New Roman"/>
          <w:sz w:val="32"/>
          <w:szCs w:val="32"/>
          <w:lang w:eastAsia="lv-LV"/>
        </w:rPr>
      </w:pPr>
    </w:p>
    <w:p w:rsidR="005C7C99" w:rsidRPr="00F24C19" w:rsidRDefault="0052015E" w:rsidP="00F24C19">
      <w:pPr>
        <w:pStyle w:val="Heading2"/>
        <w:spacing w:before="0"/>
        <w:rPr>
          <w:sz w:val="28"/>
          <w:szCs w:val="28"/>
          <w:lang w:eastAsia="lv-LV"/>
        </w:rPr>
      </w:pPr>
      <w:bookmarkStart w:id="58" w:name="_Toc474219923"/>
      <w:bookmarkStart w:id="59" w:name="_Toc474220927"/>
      <w:bookmarkStart w:id="60" w:name="_Toc474410934"/>
      <w:bookmarkStart w:id="61" w:name="_Toc505249172"/>
      <w:r w:rsidRPr="00F24C19">
        <w:rPr>
          <w:sz w:val="28"/>
          <w:szCs w:val="28"/>
          <w:lang w:eastAsia="lv-LV"/>
        </w:rPr>
        <w:t>5. </w:t>
      </w:r>
      <w:r w:rsidR="005C7C99" w:rsidRPr="00F24C19">
        <w:rPr>
          <w:sz w:val="28"/>
          <w:szCs w:val="28"/>
          <w:lang w:eastAsia="lv-LV"/>
        </w:rPr>
        <w:t xml:space="preserve">Biroja </w:t>
      </w:r>
      <w:proofErr w:type="spellStart"/>
      <w:r w:rsidR="005C7C99" w:rsidRPr="00F24C19">
        <w:rPr>
          <w:sz w:val="28"/>
          <w:szCs w:val="28"/>
          <w:lang w:eastAsia="lv-LV"/>
        </w:rPr>
        <w:t>personālpolitika</w:t>
      </w:r>
      <w:proofErr w:type="spellEnd"/>
      <w:r w:rsidR="005C7C99" w:rsidRPr="00F24C19">
        <w:rPr>
          <w:sz w:val="28"/>
          <w:szCs w:val="28"/>
          <w:lang w:eastAsia="lv-LV"/>
        </w:rPr>
        <w:t xml:space="preserve"> un iekšējā kontrole</w:t>
      </w:r>
      <w:bookmarkEnd w:id="58"/>
      <w:bookmarkEnd w:id="59"/>
      <w:bookmarkEnd w:id="60"/>
      <w:bookmarkEnd w:id="61"/>
    </w:p>
    <w:p w:rsidR="005C7C99" w:rsidRPr="00C41916" w:rsidRDefault="005C7C99" w:rsidP="006C79D7">
      <w:pPr>
        <w:pStyle w:val="NoSpacing"/>
        <w:spacing w:line="276" w:lineRule="auto"/>
        <w:ind w:firstLine="567"/>
        <w:jc w:val="both"/>
        <w:rPr>
          <w:rFonts w:ascii="Times New Roman" w:hAnsi="Times New Roman" w:cs="Times New Roman"/>
          <w:sz w:val="24"/>
          <w:szCs w:val="24"/>
        </w:rPr>
      </w:pPr>
    </w:p>
    <w:p w:rsidR="005C7C99" w:rsidRPr="00C41916" w:rsidRDefault="005020FC" w:rsidP="006C79D7">
      <w:pPr>
        <w:pStyle w:val="NoSpacing"/>
        <w:spacing w:line="276" w:lineRule="auto"/>
        <w:ind w:firstLine="709"/>
        <w:jc w:val="both"/>
        <w:rPr>
          <w:rFonts w:ascii="Times New Roman" w:hAnsi="Times New Roman" w:cs="Times New Roman"/>
          <w:sz w:val="24"/>
          <w:szCs w:val="24"/>
        </w:rPr>
      </w:pPr>
      <w:r w:rsidRPr="005020FC">
        <w:rPr>
          <w:rFonts w:ascii="Times New Roman" w:hAnsi="Times New Roman" w:cs="Times New Roman"/>
          <w:sz w:val="24"/>
          <w:szCs w:val="24"/>
        </w:rPr>
        <w:t>2017.gada 31.decembr</w:t>
      </w:r>
      <w:r w:rsidR="0095516E">
        <w:rPr>
          <w:rFonts w:ascii="Times New Roman" w:hAnsi="Times New Roman" w:cs="Times New Roman"/>
          <w:sz w:val="24"/>
          <w:szCs w:val="24"/>
        </w:rPr>
        <w:t>ī no Biroja 150 štata vietām</w:t>
      </w:r>
      <w:r w:rsidRPr="005020FC">
        <w:rPr>
          <w:rFonts w:ascii="Times New Roman" w:hAnsi="Times New Roman" w:cs="Times New Roman"/>
          <w:sz w:val="24"/>
          <w:szCs w:val="24"/>
        </w:rPr>
        <w:t xml:space="preserve"> aizpildītas ir 125</w:t>
      </w:r>
      <w:r w:rsidR="0095516E">
        <w:rPr>
          <w:rFonts w:ascii="Times New Roman" w:hAnsi="Times New Roman" w:cs="Times New Roman"/>
          <w:sz w:val="24"/>
          <w:szCs w:val="24"/>
        </w:rPr>
        <w:t xml:space="preserve"> štata vietas</w:t>
      </w:r>
      <w:r w:rsidR="008E6C7D">
        <w:rPr>
          <w:rFonts w:ascii="Times New Roman" w:hAnsi="Times New Roman" w:cs="Times New Roman"/>
          <w:sz w:val="24"/>
          <w:szCs w:val="24"/>
        </w:rPr>
        <w:t>. Laik</w:t>
      </w:r>
      <w:r w:rsidRPr="005020FC">
        <w:rPr>
          <w:rFonts w:ascii="Times New Roman" w:hAnsi="Times New Roman" w:cs="Times New Roman"/>
          <w:sz w:val="24"/>
          <w:szCs w:val="24"/>
        </w:rPr>
        <w:t>posmā no 2017.gada 1.janvāra līdz 2017.gada 31.decembrim dienesta tiesiskās attiecības Birojā ir uzsākuš</w:t>
      </w:r>
      <w:r w:rsidR="007D495E">
        <w:rPr>
          <w:rFonts w:ascii="Times New Roman" w:hAnsi="Times New Roman" w:cs="Times New Roman"/>
          <w:sz w:val="24"/>
          <w:szCs w:val="24"/>
        </w:rPr>
        <w:t>as</w:t>
      </w:r>
      <w:r w:rsidRPr="005020FC">
        <w:rPr>
          <w:rFonts w:ascii="Times New Roman" w:hAnsi="Times New Roman" w:cs="Times New Roman"/>
          <w:sz w:val="24"/>
          <w:szCs w:val="24"/>
        </w:rPr>
        <w:t xml:space="preserve"> 18 </w:t>
      </w:r>
      <w:r w:rsidR="007D495E">
        <w:rPr>
          <w:rFonts w:ascii="Times New Roman" w:hAnsi="Times New Roman" w:cs="Times New Roman"/>
          <w:sz w:val="24"/>
          <w:szCs w:val="24"/>
        </w:rPr>
        <w:t>personas, savukārt</w:t>
      </w:r>
      <w:r w:rsidRPr="005020FC">
        <w:rPr>
          <w:rFonts w:ascii="Times New Roman" w:hAnsi="Times New Roman" w:cs="Times New Roman"/>
          <w:sz w:val="24"/>
          <w:szCs w:val="24"/>
        </w:rPr>
        <w:t xml:space="preserve"> dienesta tiesiskās attiecības ar Biroju pārtraukušas 14</w:t>
      </w:r>
      <w:r w:rsidR="007D495E">
        <w:rPr>
          <w:rFonts w:ascii="Times New Roman" w:hAnsi="Times New Roman" w:cs="Times New Roman"/>
          <w:sz w:val="24"/>
          <w:szCs w:val="24"/>
        </w:rPr>
        <w:t xml:space="preserve"> personas</w:t>
      </w:r>
      <w:r w:rsidR="005C7C99">
        <w:rPr>
          <w:rFonts w:ascii="Times New Roman" w:hAnsi="Times New Roman" w:cs="Times New Roman"/>
          <w:sz w:val="24"/>
          <w:szCs w:val="24"/>
        </w:rPr>
        <w:t xml:space="preserve">. </w:t>
      </w:r>
    </w:p>
    <w:p w:rsidR="000A4C66" w:rsidRPr="000A4C66" w:rsidRDefault="009F0B91" w:rsidP="006C79D7">
      <w:pPr>
        <w:spacing w:after="0"/>
        <w:ind w:firstLine="709"/>
        <w:jc w:val="both"/>
        <w:rPr>
          <w:rFonts w:ascii="Times New Roman" w:hAnsi="Times New Roman" w:cs="Times New Roman"/>
          <w:sz w:val="24"/>
          <w:szCs w:val="24"/>
        </w:rPr>
      </w:pPr>
      <w:r w:rsidRPr="000A4C66">
        <w:rPr>
          <w:rFonts w:ascii="Times New Roman" w:hAnsi="Times New Roman" w:cs="Times New Roman"/>
          <w:sz w:val="24"/>
          <w:szCs w:val="24"/>
        </w:rPr>
        <w:t>2017.gada 1.novembrī</w:t>
      </w:r>
      <w:r>
        <w:rPr>
          <w:rFonts w:ascii="Times New Roman" w:hAnsi="Times New Roman" w:cs="Times New Roman"/>
          <w:sz w:val="24"/>
          <w:szCs w:val="24"/>
        </w:rPr>
        <w:t>, l</w:t>
      </w:r>
      <w:r w:rsidR="000A4C66" w:rsidRPr="000A4C66">
        <w:rPr>
          <w:rFonts w:ascii="Times New Roman" w:hAnsi="Times New Roman" w:cs="Times New Roman"/>
          <w:sz w:val="24"/>
          <w:szCs w:val="24"/>
        </w:rPr>
        <w:t xml:space="preserve">ai </w:t>
      </w:r>
      <w:proofErr w:type="spellStart"/>
      <w:r w:rsidR="000A4C66" w:rsidRPr="000A4C66">
        <w:rPr>
          <w:rFonts w:ascii="Times New Roman" w:hAnsi="Times New Roman" w:cs="Times New Roman"/>
          <w:sz w:val="24"/>
          <w:szCs w:val="24"/>
        </w:rPr>
        <w:t>efektivizētu</w:t>
      </w:r>
      <w:proofErr w:type="spellEnd"/>
      <w:r w:rsidR="000A4C66" w:rsidRPr="000A4C66">
        <w:rPr>
          <w:rFonts w:ascii="Times New Roman" w:hAnsi="Times New Roman" w:cs="Times New Roman"/>
          <w:sz w:val="24"/>
          <w:szCs w:val="24"/>
        </w:rPr>
        <w:t xml:space="preserve"> Biroja funkciju izpildi, izvērtējot nepieciešamību pilnveidot analītisko darbu, Birojā ir veiktas būtiskas strukturālās izmaiņas, izveidojot Stratēģiskās analīzes un politikas plānošanas nodaļu un Lietvedības nodaļu. Stratēģiskās analīzes un politikas plānošanas nodaļa ir tiešā Biroja priekšnieka pakļautībā. Tā nodrošina </w:t>
      </w:r>
      <w:r w:rsidR="00B820D5">
        <w:rPr>
          <w:rFonts w:ascii="Times New Roman" w:hAnsi="Times New Roman" w:cs="Times New Roman"/>
          <w:sz w:val="24"/>
          <w:szCs w:val="24"/>
        </w:rPr>
        <w:t>sistēmisku pieeju korupcijas novēršanā un apkarošanā,</w:t>
      </w:r>
      <w:r w:rsidR="000A4C66" w:rsidRPr="000A4C66">
        <w:rPr>
          <w:rFonts w:ascii="Times New Roman" w:hAnsi="Times New Roman" w:cs="Times New Roman"/>
          <w:sz w:val="24"/>
          <w:szCs w:val="24"/>
        </w:rPr>
        <w:t xml:space="preserve"> </w:t>
      </w:r>
      <w:r w:rsidR="004A0414">
        <w:rPr>
          <w:rFonts w:ascii="Times New Roman" w:hAnsi="Times New Roman" w:cs="Times New Roman"/>
          <w:sz w:val="24"/>
          <w:szCs w:val="24"/>
        </w:rPr>
        <w:t xml:space="preserve">veic </w:t>
      </w:r>
      <w:r w:rsidR="000A4C66" w:rsidRPr="000A4C66">
        <w:rPr>
          <w:rFonts w:ascii="Times New Roman" w:hAnsi="Times New Roman" w:cs="Times New Roman"/>
          <w:sz w:val="24"/>
          <w:szCs w:val="24"/>
        </w:rPr>
        <w:t>korupcijas novēršanas un apkarošanas metodikas attīstīšan</w:t>
      </w:r>
      <w:r w:rsidR="004A0414">
        <w:rPr>
          <w:rFonts w:ascii="Times New Roman" w:hAnsi="Times New Roman" w:cs="Times New Roman"/>
          <w:sz w:val="24"/>
          <w:szCs w:val="24"/>
        </w:rPr>
        <w:t>u</w:t>
      </w:r>
      <w:r w:rsidR="000A4C66" w:rsidRPr="000A4C66">
        <w:rPr>
          <w:rFonts w:ascii="Times New Roman" w:hAnsi="Times New Roman" w:cs="Times New Roman"/>
          <w:sz w:val="24"/>
          <w:szCs w:val="24"/>
        </w:rPr>
        <w:t xml:space="preserve"> valsts iestādēs,</w:t>
      </w:r>
      <w:r w:rsidR="006333D4">
        <w:rPr>
          <w:rFonts w:ascii="Times New Roman" w:hAnsi="Times New Roman" w:cs="Times New Roman"/>
          <w:sz w:val="24"/>
          <w:szCs w:val="24"/>
        </w:rPr>
        <w:t xml:space="preserve"> koordinē Biroja sabiedriskās attiecības</w:t>
      </w:r>
      <w:r w:rsidR="000A4C66" w:rsidRPr="000A4C66">
        <w:rPr>
          <w:rFonts w:ascii="Times New Roman" w:hAnsi="Times New Roman" w:cs="Times New Roman"/>
          <w:sz w:val="24"/>
          <w:szCs w:val="24"/>
        </w:rPr>
        <w:t xml:space="preserve"> un </w:t>
      </w:r>
      <w:r w:rsidR="006333D4">
        <w:rPr>
          <w:rFonts w:ascii="Times New Roman" w:hAnsi="Times New Roman" w:cs="Times New Roman"/>
          <w:sz w:val="24"/>
          <w:szCs w:val="24"/>
        </w:rPr>
        <w:t xml:space="preserve">izstrādā </w:t>
      </w:r>
      <w:r w:rsidR="000A4C66" w:rsidRPr="000A4C66">
        <w:rPr>
          <w:rFonts w:ascii="Times New Roman" w:hAnsi="Times New Roman" w:cs="Times New Roman"/>
          <w:sz w:val="24"/>
          <w:szCs w:val="24"/>
        </w:rPr>
        <w:t>sabiedrības i</w:t>
      </w:r>
      <w:r w:rsidR="006333D4">
        <w:rPr>
          <w:rFonts w:ascii="Times New Roman" w:hAnsi="Times New Roman" w:cs="Times New Roman"/>
          <w:sz w:val="24"/>
          <w:szCs w:val="24"/>
        </w:rPr>
        <w:t>zglītošanas stratēģiju</w:t>
      </w:r>
      <w:r w:rsidR="000A4C66" w:rsidRPr="000A4C66">
        <w:rPr>
          <w:rFonts w:ascii="Times New Roman" w:hAnsi="Times New Roman" w:cs="Times New Roman"/>
          <w:sz w:val="24"/>
          <w:szCs w:val="24"/>
        </w:rPr>
        <w:t>, veic Latvijas un citu valstu pieredzes apkopošanu korupcijas</w:t>
      </w:r>
      <w:r w:rsidR="008E6C7D">
        <w:rPr>
          <w:rFonts w:ascii="Times New Roman" w:hAnsi="Times New Roman" w:cs="Times New Roman"/>
          <w:sz w:val="24"/>
          <w:szCs w:val="24"/>
        </w:rPr>
        <w:t xml:space="preserve"> novēršanas un apkarošanas jomā</w:t>
      </w:r>
      <w:r w:rsidR="00963D8A">
        <w:rPr>
          <w:rFonts w:ascii="Times New Roman" w:hAnsi="Times New Roman" w:cs="Times New Roman"/>
          <w:sz w:val="24"/>
          <w:szCs w:val="24"/>
        </w:rPr>
        <w:t xml:space="preserve">, </w:t>
      </w:r>
      <w:r w:rsidR="004A0414">
        <w:rPr>
          <w:rFonts w:ascii="Times New Roman" w:hAnsi="Times New Roman" w:cs="Times New Roman"/>
          <w:sz w:val="24"/>
          <w:szCs w:val="24"/>
        </w:rPr>
        <w:t xml:space="preserve">kā arī nodrošina </w:t>
      </w:r>
      <w:r w:rsidR="00963D8A">
        <w:rPr>
          <w:rFonts w:ascii="Times New Roman" w:hAnsi="Times New Roman" w:cs="Times New Roman"/>
          <w:sz w:val="24"/>
          <w:szCs w:val="24"/>
        </w:rPr>
        <w:t>Biroja</w:t>
      </w:r>
      <w:r w:rsidR="008E6C7D">
        <w:rPr>
          <w:rFonts w:ascii="Times New Roman" w:hAnsi="Times New Roman" w:cs="Times New Roman"/>
          <w:sz w:val="24"/>
          <w:szCs w:val="24"/>
        </w:rPr>
        <w:t xml:space="preserve"> darbības</w:t>
      </w:r>
      <w:r w:rsidR="00963D8A">
        <w:rPr>
          <w:rFonts w:ascii="Times New Roman" w:hAnsi="Times New Roman" w:cs="Times New Roman"/>
          <w:sz w:val="24"/>
          <w:szCs w:val="24"/>
        </w:rPr>
        <w:t xml:space="preserve"> stratēģijā izvirzīto prioritāro jomu</w:t>
      </w:r>
      <w:r w:rsidR="000A4C66" w:rsidRPr="000A4C66">
        <w:rPr>
          <w:rFonts w:ascii="Times New Roman" w:hAnsi="Times New Roman" w:cs="Times New Roman"/>
          <w:sz w:val="24"/>
          <w:szCs w:val="24"/>
        </w:rPr>
        <w:t xml:space="preserve"> stratēģisko analīzi.</w:t>
      </w:r>
    </w:p>
    <w:p w:rsidR="000A4C66" w:rsidRDefault="000A4C66" w:rsidP="006C79D7">
      <w:pPr>
        <w:spacing w:after="0"/>
        <w:ind w:firstLine="709"/>
        <w:jc w:val="both"/>
        <w:rPr>
          <w:rFonts w:ascii="Times New Roman" w:hAnsi="Times New Roman" w:cs="Times New Roman"/>
          <w:sz w:val="24"/>
          <w:szCs w:val="24"/>
        </w:rPr>
      </w:pPr>
      <w:r w:rsidRPr="000A4C66">
        <w:rPr>
          <w:rFonts w:ascii="Times New Roman" w:hAnsi="Times New Roman" w:cs="Times New Roman"/>
          <w:sz w:val="24"/>
          <w:szCs w:val="24"/>
        </w:rPr>
        <w:tab/>
        <w:t xml:space="preserve">Lai efektīvi un kvalitatīvi tiktu nodrošināta </w:t>
      </w:r>
      <w:r w:rsidR="00630E9E" w:rsidRPr="000A4C66">
        <w:rPr>
          <w:rFonts w:ascii="Times New Roman" w:hAnsi="Times New Roman" w:cs="Times New Roman"/>
          <w:sz w:val="24"/>
          <w:szCs w:val="24"/>
        </w:rPr>
        <w:t>p</w:t>
      </w:r>
      <w:r w:rsidR="00630E9E">
        <w:rPr>
          <w:rFonts w:ascii="Times New Roman" w:hAnsi="Times New Roman" w:cs="Times New Roman"/>
          <w:sz w:val="24"/>
          <w:szCs w:val="24"/>
        </w:rPr>
        <w:t>rioritāro jomu</w:t>
      </w:r>
      <w:r w:rsidR="00630E9E" w:rsidRPr="000A4C66">
        <w:rPr>
          <w:rFonts w:ascii="Times New Roman" w:hAnsi="Times New Roman" w:cs="Times New Roman"/>
          <w:sz w:val="24"/>
          <w:szCs w:val="24"/>
        </w:rPr>
        <w:t xml:space="preserve"> </w:t>
      </w:r>
      <w:r w:rsidRPr="000A4C66">
        <w:rPr>
          <w:rFonts w:ascii="Times New Roman" w:hAnsi="Times New Roman" w:cs="Times New Roman"/>
          <w:sz w:val="24"/>
          <w:szCs w:val="24"/>
        </w:rPr>
        <w:t>informācijas analīze</w:t>
      </w:r>
      <w:r w:rsidR="00630E9E">
        <w:rPr>
          <w:rFonts w:ascii="Times New Roman" w:hAnsi="Times New Roman" w:cs="Times New Roman"/>
          <w:sz w:val="24"/>
          <w:szCs w:val="24"/>
        </w:rPr>
        <w:t xml:space="preserve"> un tās rezultāti, atbilstoši aktuālajām starptautiskajām tendencēm, tiktu izmantoti novēršot korupcijas riskus vēl pirms valsts interesēm tiek radīts kaitējums</w:t>
      </w:r>
      <w:r w:rsidRPr="000A4C66">
        <w:rPr>
          <w:rFonts w:ascii="Times New Roman" w:hAnsi="Times New Roman" w:cs="Times New Roman"/>
          <w:sz w:val="24"/>
          <w:szCs w:val="24"/>
        </w:rPr>
        <w:t>, ir nepieciešams piesaistīt kvalificētus</w:t>
      </w:r>
      <w:r>
        <w:rPr>
          <w:rFonts w:ascii="Times New Roman" w:hAnsi="Times New Roman" w:cs="Times New Roman"/>
          <w:sz w:val="24"/>
          <w:szCs w:val="24"/>
        </w:rPr>
        <w:t>, pieredzējušus</w:t>
      </w:r>
      <w:r w:rsidRPr="000A4C66">
        <w:rPr>
          <w:rFonts w:ascii="Times New Roman" w:hAnsi="Times New Roman" w:cs="Times New Roman"/>
          <w:sz w:val="24"/>
          <w:szCs w:val="24"/>
        </w:rPr>
        <w:t xml:space="preserve"> darbiniekus un pilnveidot esošo darbinieku zināšanas par informācijas tehnoloģijām, finanšu un stratēģisko analīzi. Lai noteiktu korupcijas riskam pakļautās jomas un risku analīzes rezultātā identificētu personas, kuru darbībā saskatāmas likumpārkāpumu pazīmes, </w:t>
      </w:r>
      <w:r w:rsidR="00A518F3">
        <w:rPr>
          <w:rFonts w:ascii="Times New Roman" w:hAnsi="Times New Roman" w:cs="Times New Roman"/>
          <w:sz w:val="24"/>
          <w:szCs w:val="24"/>
        </w:rPr>
        <w:t>jāizmanto efektīvāka</w:t>
      </w:r>
      <w:r w:rsidRPr="000A4C66">
        <w:rPr>
          <w:rFonts w:ascii="Times New Roman" w:hAnsi="Times New Roman" w:cs="Times New Roman"/>
          <w:sz w:val="24"/>
          <w:szCs w:val="24"/>
        </w:rPr>
        <w:t>s informācijas analīzes metodes</w:t>
      </w:r>
      <w:r w:rsidR="0095516E">
        <w:rPr>
          <w:rFonts w:ascii="Times New Roman" w:hAnsi="Times New Roman" w:cs="Times New Roman"/>
          <w:sz w:val="24"/>
          <w:szCs w:val="24"/>
        </w:rPr>
        <w:t>, tajā skaitā, i</w:t>
      </w:r>
      <w:r w:rsidR="00A518F3">
        <w:rPr>
          <w:rFonts w:ascii="Times New Roman" w:hAnsi="Times New Roman" w:cs="Times New Roman"/>
          <w:sz w:val="24"/>
          <w:szCs w:val="24"/>
        </w:rPr>
        <w:t xml:space="preserve">epazīstoties ar citu valstu pieredzi </w:t>
      </w:r>
      <w:r w:rsidR="00400D0C">
        <w:rPr>
          <w:rFonts w:ascii="Times New Roman" w:hAnsi="Times New Roman" w:cs="Times New Roman"/>
          <w:sz w:val="24"/>
          <w:szCs w:val="24"/>
        </w:rPr>
        <w:t>stratēģiskās analīzes veikšanā.</w:t>
      </w:r>
    </w:p>
    <w:p w:rsidR="00400D0C" w:rsidRDefault="005C7C99"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Biroj</w:t>
      </w:r>
      <w:r>
        <w:rPr>
          <w:rFonts w:ascii="Times New Roman" w:hAnsi="Times New Roman" w:cs="Times New Roman"/>
          <w:sz w:val="24"/>
          <w:szCs w:val="24"/>
        </w:rPr>
        <w:t>s</w:t>
      </w:r>
      <w:r w:rsidRPr="00C41916">
        <w:rPr>
          <w:rFonts w:ascii="Times New Roman" w:hAnsi="Times New Roman" w:cs="Times New Roman"/>
          <w:sz w:val="24"/>
          <w:szCs w:val="24"/>
        </w:rPr>
        <w:t xml:space="preserve"> darbinieku atlas</w:t>
      </w:r>
      <w:r w:rsidR="00630E9E">
        <w:rPr>
          <w:rFonts w:ascii="Times New Roman" w:hAnsi="Times New Roman" w:cs="Times New Roman"/>
          <w:sz w:val="24"/>
          <w:szCs w:val="24"/>
        </w:rPr>
        <w:t>i</w:t>
      </w:r>
      <w:r w:rsidRPr="00C41916">
        <w:rPr>
          <w:rFonts w:ascii="Times New Roman" w:hAnsi="Times New Roman" w:cs="Times New Roman"/>
          <w:sz w:val="24"/>
          <w:szCs w:val="24"/>
        </w:rPr>
        <w:t xml:space="preserve"> </w:t>
      </w:r>
      <w:r w:rsidR="00630E9E">
        <w:rPr>
          <w:rFonts w:ascii="Times New Roman" w:hAnsi="Times New Roman" w:cs="Times New Roman"/>
          <w:sz w:val="24"/>
          <w:szCs w:val="24"/>
        </w:rPr>
        <w:t>organizē</w:t>
      </w:r>
      <w:r w:rsidR="00400D0C">
        <w:rPr>
          <w:rFonts w:ascii="Times New Roman" w:hAnsi="Times New Roman" w:cs="Times New Roman"/>
          <w:sz w:val="24"/>
          <w:szCs w:val="24"/>
        </w:rPr>
        <w:t xml:space="preserve">, izmantojot dažādas </w:t>
      </w:r>
      <w:proofErr w:type="spellStart"/>
      <w:r w:rsidR="00400D0C">
        <w:rPr>
          <w:rFonts w:ascii="Times New Roman" w:hAnsi="Times New Roman" w:cs="Times New Roman"/>
          <w:sz w:val="24"/>
          <w:szCs w:val="24"/>
        </w:rPr>
        <w:t>personālatlases</w:t>
      </w:r>
      <w:proofErr w:type="spellEnd"/>
      <w:r w:rsidR="00400D0C">
        <w:rPr>
          <w:rFonts w:ascii="Times New Roman" w:hAnsi="Times New Roman" w:cs="Times New Roman"/>
          <w:sz w:val="24"/>
          <w:szCs w:val="24"/>
        </w:rPr>
        <w:t xml:space="preserve"> metodes, tādējādi nodrošinot,</w:t>
      </w:r>
      <w:r w:rsidRPr="00C41916">
        <w:rPr>
          <w:rFonts w:ascii="Times New Roman" w:hAnsi="Times New Roman" w:cs="Times New Roman"/>
          <w:sz w:val="24"/>
          <w:szCs w:val="24"/>
        </w:rPr>
        <w:t xml:space="preserve"> ka dienestam iestādē tiek pieņemti </w:t>
      </w:r>
      <w:r w:rsidR="00400D0C">
        <w:rPr>
          <w:rFonts w:ascii="Times New Roman" w:hAnsi="Times New Roman" w:cs="Times New Roman"/>
          <w:sz w:val="24"/>
          <w:szCs w:val="24"/>
        </w:rPr>
        <w:t>atbilstošākie</w:t>
      </w:r>
      <w:r w:rsidRPr="00C41916">
        <w:rPr>
          <w:rFonts w:ascii="Times New Roman" w:hAnsi="Times New Roman" w:cs="Times New Roman"/>
          <w:sz w:val="24"/>
          <w:szCs w:val="24"/>
        </w:rPr>
        <w:t xml:space="preserve"> kandidāti</w:t>
      </w:r>
      <w:r w:rsidR="00630E9E">
        <w:rPr>
          <w:rFonts w:ascii="Times New Roman" w:hAnsi="Times New Roman" w:cs="Times New Roman"/>
          <w:sz w:val="24"/>
          <w:szCs w:val="24"/>
        </w:rPr>
        <w:t>.</w:t>
      </w:r>
      <w:r w:rsidRPr="00C41916">
        <w:rPr>
          <w:rFonts w:ascii="Times New Roman" w:hAnsi="Times New Roman" w:cs="Times New Roman"/>
          <w:sz w:val="24"/>
          <w:szCs w:val="24"/>
        </w:rPr>
        <w:t xml:space="preserve"> </w:t>
      </w:r>
      <w:r w:rsidR="00630E9E">
        <w:rPr>
          <w:rFonts w:ascii="Times New Roman" w:hAnsi="Times New Roman" w:cs="Times New Roman"/>
          <w:sz w:val="24"/>
          <w:szCs w:val="24"/>
        </w:rPr>
        <w:t>L</w:t>
      </w:r>
      <w:r w:rsidR="00630E9E" w:rsidRPr="00C41916">
        <w:rPr>
          <w:rFonts w:ascii="Times New Roman" w:hAnsi="Times New Roman" w:cs="Times New Roman"/>
          <w:sz w:val="24"/>
          <w:szCs w:val="24"/>
        </w:rPr>
        <w:t xml:space="preserve">ai </w:t>
      </w:r>
      <w:r w:rsidRPr="00C41916">
        <w:rPr>
          <w:rFonts w:ascii="Times New Roman" w:hAnsi="Times New Roman" w:cs="Times New Roman"/>
          <w:sz w:val="24"/>
          <w:szCs w:val="24"/>
        </w:rPr>
        <w:t xml:space="preserve">piesaistītu profesionāļus ar lielu pieredzi, </w:t>
      </w:r>
      <w:r>
        <w:rPr>
          <w:rFonts w:ascii="Times New Roman" w:hAnsi="Times New Roman" w:cs="Times New Roman"/>
          <w:sz w:val="24"/>
          <w:szCs w:val="24"/>
        </w:rPr>
        <w:t xml:space="preserve">Birojs </w:t>
      </w:r>
      <w:r w:rsidRPr="00C41916">
        <w:rPr>
          <w:rFonts w:ascii="Times New Roman" w:hAnsi="Times New Roman" w:cs="Times New Roman"/>
          <w:sz w:val="24"/>
          <w:szCs w:val="24"/>
        </w:rPr>
        <w:t xml:space="preserve">izmanto arī vervēšanas metodi. </w:t>
      </w:r>
    </w:p>
    <w:p w:rsidR="009F0B91" w:rsidRDefault="005C7C99" w:rsidP="00400D0C">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 xml:space="preserve">Obligātās prasības pretendentiem dienestam Birojā noteiktas Korupcijas novēršanas un apkarošanas biroja likumā. </w:t>
      </w:r>
      <w:r w:rsidR="009F0B91" w:rsidRPr="009F0B91">
        <w:rPr>
          <w:rFonts w:ascii="Times New Roman" w:hAnsi="Times New Roman" w:cs="Times New Roman"/>
          <w:sz w:val="24"/>
          <w:szCs w:val="24"/>
        </w:rPr>
        <w:t xml:space="preserve">Personāla atlases procesā ir jānodrošina kandidātu atbilstības izvērtēšana gan Korupcijas novēršanas un apkarošana biroja likumā noteiktajām obligātajām prasībām, gan arī likumā „Par valsts noslēpumu” noteiktajām prasībām, lai amatpersona varētu saņemt speciālo atļauju pieejai valsts noslēpumam. Līdz ar to pretendentu atlase ir laikietilpīgs un ilgstošs process, kas sastāv no diviem etapiem – pretendenta profesionālās atbilstības izvērtējuma (iegūtā izglītība, darba pieredze, pretendenta spēja analizēt lielu informācijas apjomu, spēja pieņemt lēmumus, citas prasmes, iemaņas) un personas izvērtējuma speciālās atļaujas pieejai valsts noslēpumam saņemšanai. Salīdzinoši ilgā </w:t>
      </w:r>
      <w:r w:rsidR="009F0B91" w:rsidRPr="009F0B91">
        <w:rPr>
          <w:rFonts w:ascii="Times New Roman" w:hAnsi="Times New Roman" w:cs="Times New Roman"/>
          <w:sz w:val="24"/>
          <w:szCs w:val="24"/>
        </w:rPr>
        <w:lastRenderedPageBreak/>
        <w:t>darbinieku atlases procedūra Birojā ir uzskatāma par visai būtisku papildu apgrūtinājumu jaunu darbinieku piesaistē.</w:t>
      </w:r>
    </w:p>
    <w:p w:rsidR="003B69FA" w:rsidRPr="004F358E" w:rsidRDefault="009F0B91" w:rsidP="006C79D7">
      <w:pPr>
        <w:spacing w:after="0"/>
        <w:ind w:firstLine="709"/>
        <w:jc w:val="both"/>
        <w:rPr>
          <w:rFonts w:ascii="Times New Roman" w:hAnsi="Times New Roman" w:cs="Times New Roman"/>
          <w:sz w:val="24"/>
          <w:szCs w:val="24"/>
        </w:rPr>
      </w:pPr>
      <w:r w:rsidRPr="009F0B91">
        <w:rPr>
          <w:rFonts w:ascii="Times New Roman" w:hAnsi="Times New Roman" w:cs="Times New Roman"/>
          <w:sz w:val="24"/>
          <w:szCs w:val="24"/>
        </w:rPr>
        <w:t>Birojā nodarbinātajiem ir nodrošināta veselības apdrošināšana, nelaimes gadījumu apdrošināšana amatpersonām, kuras veic izmeklēšanu un operatīvo darbību, kā arī pabalsti (atvaļinājuma pabalsts atkarībā no stāža u.c.), kompensācijas un cita normatīvajos aktos paredzētā noteikto izdevumu segšana. Atkarībā no sasniegtajiem darba izpildes rezultātiem un veicamo darbu prioritātēm, regulāri tiek pārskatīts jautājums par iespēju piešķirt normatīvajos aktos paredzētās prēmijas, piemaksas (par personisko darba ieguldījumu un darba kvalitāti, speciālās piemaksas par darbu, kas saistīts ar īpašu risku, par papildu darbu u.c.) un naudas balvas.</w:t>
      </w:r>
      <w:r w:rsidR="003B69FA">
        <w:rPr>
          <w:rFonts w:ascii="Times New Roman" w:hAnsi="Times New Roman" w:cs="Times New Roman"/>
          <w:sz w:val="24"/>
          <w:szCs w:val="24"/>
        </w:rPr>
        <w:t xml:space="preserve"> </w:t>
      </w:r>
      <w:r w:rsidR="003B69FA" w:rsidRPr="003B69FA">
        <w:rPr>
          <w:rFonts w:ascii="Times New Roman" w:hAnsi="Times New Roman" w:cs="Times New Roman"/>
          <w:sz w:val="24"/>
          <w:szCs w:val="24"/>
        </w:rPr>
        <w:t>Par ikgadējās darbības un tā rezultātu novērtējumu Birojā strādājošie tiek prēmēti līdz 75 procentiem no mēnešalgas, j</w:t>
      </w:r>
      <w:r w:rsidR="003B69FA">
        <w:rPr>
          <w:rFonts w:ascii="Times New Roman" w:hAnsi="Times New Roman" w:cs="Times New Roman"/>
          <w:sz w:val="24"/>
          <w:szCs w:val="24"/>
        </w:rPr>
        <w:t>a novērtējums ir “</w:t>
      </w:r>
      <w:r w:rsidR="003B69FA" w:rsidRPr="003B69FA">
        <w:rPr>
          <w:rFonts w:ascii="Times New Roman" w:hAnsi="Times New Roman" w:cs="Times New Roman"/>
          <w:sz w:val="24"/>
          <w:szCs w:val="24"/>
        </w:rPr>
        <w:t>teicami</w:t>
      </w:r>
      <w:r w:rsidR="003B69FA">
        <w:rPr>
          <w:rFonts w:ascii="Times New Roman" w:hAnsi="Times New Roman" w:cs="Times New Roman"/>
          <w:sz w:val="24"/>
          <w:szCs w:val="24"/>
        </w:rPr>
        <w:t>”</w:t>
      </w:r>
      <w:r w:rsidR="003B69FA" w:rsidRPr="003B69FA">
        <w:rPr>
          <w:rFonts w:ascii="Times New Roman" w:hAnsi="Times New Roman" w:cs="Times New Roman"/>
          <w:sz w:val="24"/>
          <w:szCs w:val="24"/>
        </w:rPr>
        <w:t>;, līdz 65 procentiem no</w:t>
      </w:r>
      <w:r w:rsidR="003B69FA">
        <w:rPr>
          <w:rFonts w:ascii="Times New Roman" w:hAnsi="Times New Roman" w:cs="Times New Roman"/>
          <w:sz w:val="24"/>
          <w:szCs w:val="24"/>
        </w:rPr>
        <w:t xml:space="preserve"> mēnešalgas, ja novērtējums ir “</w:t>
      </w:r>
      <w:r w:rsidR="003B69FA" w:rsidRPr="003B69FA">
        <w:rPr>
          <w:rFonts w:ascii="Times New Roman" w:hAnsi="Times New Roman" w:cs="Times New Roman"/>
          <w:sz w:val="24"/>
          <w:szCs w:val="24"/>
        </w:rPr>
        <w:t>ļoti labi</w:t>
      </w:r>
      <w:r w:rsidR="003B69FA">
        <w:rPr>
          <w:rFonts w:ascii="Times New Roman" w:hAnsi="Times New Roman" w:cs="Times New Roman"/>
          <w:sz w:val="24"/>
          <w:szCs w:val="24"/>
        </w:rPr>
        <w:t>”</w:t>
      </w:r>
      <w:r w:rsidR="003B69FA" w:rsidRPr="003B69FA">
        <w:rPr>
          <w:rFonts w:ascii="Times New Roman" w:hAnsi="Times New Roman" w:cs="Times New Roman"/>
          <w:sz w:val="24"/>
          <w:szCs w:val="24"/>
        </w:rPr>
        <w:t>;, līdz 55 procentiem no</w:t>
      </w:r>
      <w:r w:rsidR="003B69FA">
        <w:rPr>
          <w:rFonts w:ascii="Times New Roman" w:hAnsi="Times New Roman" w:cs="Times New Roman"/>
          <w:sz w:val="24"/>
          <w:szCs w:val="24"/>
        </w:rPr>
        <w:t xml:space="preserve"> mēnešalgas, ja novērtējums ir “labi”</w:t>
      </w:r>
      <w:r w:rsidR="003B69FA" w:rsidRPr="003B69FA">
        <w:rPr>
          <w:rFonts w:ascii="Times New Roman" w:hAnsi="Times New Roman" w:cs="Times New Roman"/>
          <w:sz w:val="24"/>
          <w:szCs w:val="24"/>
        </w:rPr>
        <w:t>.</w:t>
      </w:r>
      <w:r w:rsidR="003B69FA">
        <w:rPr>
          <w:rFonts w:ascii="Times New Roman" w:hAnsi="Times New Roman" w:cs="Times New Roman"/>
          <w:sz w:val="24"/>
          <w:szCs w:val="24"/>
        </w:rPr>
        <w:t xml:space="preserve"> Par izcilu un</w:t>
      </w:r>
      <w:r w:rsidR="002D03AA">
        <w:rPr>
          <w:rFonts w:ascii="Times New Roman" w:hAnsi="Times New Roman" w:cs="Times New Roman"/>
          <w:sz w:val="24"/>
          <w:szCs w:val="24"/>
        </w:rPr>
        <w:t>/vai</w:t>
      </w:r>
      <w:r w:rsidR="003B69FA">
        <w:rPr>
          <w:rFonts w:ascii="Times New Roman" w:hAnsi="Times New Roman" w:cs="Times New Roman"/>
          <w:sz w:val="24"/>
          <w:szCs w:val="24"/>
        </w:rPr>
        <w:t xml:space="preserve"> ilggadēju darbu Biroja gadadienā Biroja </w:t>
      </w:r>
      <w:r w:rsidR="003B69FA" w:rsidRPr="00C41916">
        <w:rPr>
          <w:rFonts w:ascii="Times New Roman" w:hAnsi="Times New Roman" w:cs="Times New Roman"/>
          <w:sz w:val="24"/>
          <w:szCs w:val="24"/>
        </w:rPr>
        <w:t xml:space="preserve">amatpersonām un darbiniekiem </w:t>
      </w:r>
      <w:r w:rsidR="004A0414">
        <w:rPr>
          <w:rFonts w:ascii="Times New Roman" w:hAnsi="Times New Roman" w:cs="Times New Roman"/>
          <w:sz w:val="24"/>
          <w:szCs w:val="24"/>
        </w:rPr>
        <w:t>pasniedz Goda diplomus</w:t>
      </w:r>
      <w:r w:rsidR="003B69FA">
        <w:rPr>
          <w:rFonts w:ascii="Times New Roman" w:hAnsi="Times New Roman" w:cs="Times New Roman"/>
          <w:sz w:val="24"/>
          <w:szCs w:val="24"/>
        </w:rPr>
        <w:t>.</w:t>
      </w:r>
    </w:p>
    <w:p w:rsidR="005C7C99" w:rsidRDefault="005C7C99"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 xml:space="preserve">Birojā ir </w:t>
      </w:r>
      <w:r w:rsidR="002D03AA">
        <w:rPr>
          <w:rFonts w:ascii="Times New Roman" w:hAnsi="Times New Roman" w:cs="Times New Roman"/>
          <w:sz w:val="24"/>
          <w:szCs w:val="24"/>
        </w:rPr>
        <w:t>nodrošināti piemēroti</w:t>
      </w:r>
      <w:r w:rsidRPr="00C41916">
        <w:rPr>
          <w:rFonts w:ascii="Times New Roman" w:hAnsi="Times New Roman" w:cs="Times New Roman"/>
          <w:sz w:val="24"/>
          <w:szCs w:val="24"/>
        </w:rPr>
        <w:t xml:space="preserve"> darba apstākļi</w:t>
      </w:r>
      <w:r>
        <w:rPr>
          <w:rFonts w:ascii="Times New Roman" w:hAnsi="Times New Roman" w:cs="Times New Roman"/>
          <w:sz w:val="24"/>
          <w:szCs w:val="24"/>
        </w:rPr>
        <w:t xml:space="preserve"> un</w:t>
      </w:r>
      <w:r w:rsidRPr="00C41916">
        <w:rPr>
          <w:rFonts w:ascii="Times New Roman" w:hAnsi="Times New Roman" w:cs="Times New Roman"/>
          <w:sz w:val="24"/>
          <w:szCs w:val="24"/>
        </w:rPr>
        <w:t xml:space="preserve"> atbilstošs tehniskais nodrošinājums</w:t>
      </w:r>
      <w:r>
        <w:rPr>
          <w:rFonts w:ascii="Times New Roman" w:hAnsi="Times New Roman" w:cs="Times New Roman"/>
          <w:sz w:val="24"/>
          <w:szCs w:val="24"/>
        </w:rPr>
        <w:t xml:space="preserve"> (mēbeles, datortehnika, sakaru līdzekļi u.c.).</w:t>
      </w:r>
      <w:r w:rsidR="009F0B91">
        <w:rPr>
          <w:rFonts w:ascii="Times New Roman" w:hAnsi="Times New Roman" w:cs="Times New Roman"/>
          <w:sz w:val="24"/>
          <w:szCs w:val="24"/>
        </w:rPr>
        <w:t xml:space="preserve"> </w:t>
      </w:r>
      <w:r w:rsidR="003B69FA" w:rsidRPr="003B69FA">
        <w:rPr>
          <w:rFonts w:ascii="Times New Roman" w:hAnsi="Times New Roman" w:cs="Times New Roman"/>
          <w:sz w:val="24"/>
          <w:szCs w:val="24"/>
        </w:rPr>
        <w:t>2018.gadā ir plānota Biroja darbības pārcelšana uz ēku Citadeles ielā 1, Rīgā. Ēk</w:t>
      </w:r>
      <w:r w:rsidR="002D03AA">
        <w:rPr>
          <w:rFonts w:ascii="Times New Roman" w:hAnsi="Times New Roman" w:cs="Times New Roman"/>
          <w:sz w:val="24"/>
          <w:szCs w:val="24"/>
        </w:rPr>
        <w:t xml:space="preserve">a būs </w:t>
      </w:r>
      <w:r w:rsidR="003B69FA" w:rsidRPr="003B69FA">
        <w:rPr>
          <w:rFonts w:ascii="Times New Roman" w:hAnsi="Times New Roman" w:cs="Times New Roman"/>
          <w:sz w:val="24"/>
          <w:szCs w:val="24"/>
        </w:rPr>
        <w:t>pilnībā pielāgot</w:t>
      </w:r>
      <w:r w:rsidR="002D03AA">
        <w:rPr>
          <w:rFonts w:ascii="Times New Roman" w:hAnsi="Times New Roman" w:cs="Times New Roman"/>
          <w:sz w:val="24"/>
          <w:szCs w:val="24"/>
        </w:rPr>
        <w:t>a</w:t>
      </w:r>
      <w:r w:rsidR="003B69FA" w:rsidRPr="003B69FA">
        <w:rPr>
          <w:rFonts w:ascii="Times New Roman" w:hAnsi="Times New Roman" w:cs="Times New Roman"/>
          <w:sz w:val="24"/>
          <w:szCs w:val="24"/>
        </w:rPr>
        <w:t xml:space="preserve"> Biroja darba vajadzībām un specifikai, nodrošinot prasībām atbilstošu darbu ar valsts noslēpuma objektiem, kā arī uzlabojot dokumentu uzglabāšanas iespējas. Ēkā būs izveidota konferenču zāle, kas nodrošinās iespēju īstenot apmācības par pretkorupcijas jautājumiem plašākai auditorijai</w:t>
      </w:r>
      <w:r w:rsidR="002D03AA">
        <w:rPr>
          <w:rFonts w:ascii="Times New Roman" w:hAnsi="Times New Roman" w:cs="Times New Roman"/>
          <w:sz w:val="24"/>
          <w:szCs w:val="24"/>
        </w:rPr>
        <w:t xml:space="preserve"> tieši Biroja telpās</w:t>
      </w:r>
      <w:r w:rsidR="003B69FA" w:rsidRPr="003B69FA">
        <w:rPr>
          <w:rFonts w:ascii="Times New Roman" w:hAnsi="Times New Roman" w:cs="Times New Roman"/>
          <w:sz w:val="24"/>
          <w:szCs w:val="24"/>
        </w:rPr>
        <w:t>.</w:t>
      </w:r>
    </w:p>
    <w:p w:rsidR="003B69FA" w:rsidRDefault="005C7C99"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 xml:space="preserve">Biroja amatpersonas tiek iesaistītas lēmumu pieņemšanā, piedaloties dažādās darba grupās, komisijās, starpinstitūciju un ārvalstu </w:t>
      </w:r>
      <w:r>
        <w:rPr>
          <w:rFonts w:ascii="Times New Roman" w:hAnsi="Times New Roman" w:cs="Times New Roman"/>
          <w:sz w:val="24"/>
          <w:szCs w:val="24"/>
        </w:rPr>
        <w:t xml:space="preserve">institūciju </w:t>
      </w:r>
      <w:r w:rsidRPr="00C41916">
        <w:rPr>
          <w:rFonts w:ascii="Times New Roman" w:hAnsi="Times New Roman" w:cs="Times New Roman"/>
          <w:sz w:val="24"/>
          <w:szCs w:val="24"/>
        </w:rPr>
        <w:t>darba grupās.</w:t>
      </w:r>
      <w:r w:rsidR="002D03AA">
        <w:rPr>
          <w:rFonts w:ascii="Times New Roman" w:hAnsi="Times New Roman" w:cs="Times New Roman"/>
          <w:sz w:val="24"/>
          <w:szCs w:val="24"/>
        </w:rPr>
        <w:t xml:space="preserve"> Profesionālo zināšanu, prasmju un iemaņu paaugstināšanai</w:t>
      </w:r>
      <w:r w:rsidRPr="00C41916">
        <w:rPr>
          <w:rFonts w:ascii="Times New Roman" w:hAnsi="Times New Roman" w:cs="Times New Roman"/>
          <w:sz w:val="24"/>
          <w:szCs w:val="24"/>
        </w:rPr>
        <w:t xml:space="preserve"> </w:t>
      </w:r>
      <w:r>
        <w:rPr>
          <w:rFonts w:ascii="Times New Roman" w:hAnsi="Times New Roman" w:cs="Times New Roman"/>
          <w:sz w:val="24"/>
          <w:szCs w:val="24"/>
        </w:rPr>
        <w:t xml:space="preserve">Biroja amatpersonām </w:t>
      </w:r>
      <w:r w:rsidR="004A0414">
        <w:rPr>
          <w:rFonts w:ascii="Times New Roman" w:hAnsi="Times New Roman" w:cs="Times New Roman"/>
          <w:sz w:val="24"/>
          <w:szCs w:val="24"/>
        </w:rPr>
        <w:t>ir</w:t>
      </w:r>
      <w:r>
        <w:rPr>
          <w:rFonts w:ascii="Times New Roman" w:hAnsi="Times New Roman" w:cs="Times New Roman"/>
          <w:sz w:val="24"/>
          <w:szCs w:val="24"/>
        </w:rPr>
        <w:t xml:space="preserve"> nodrošināti v</w:t>
      </w:r>
      <w:r w:rsidRPr="00C41916">
        <w:rPr>
          <w:rFonts w:ascii="Times New Roman" w:hAnsi="Times New Roman" w:cs="Times New Roman"/>
          <w:sz w:val="24"/>
          <w:szCs w:val="24"/>
        </w:rPr>
        <w:t xml:space="preserve">ērtīgi pieredzes apmaiņas braucieni pie ārvalstu kolēģiem, kā arī dalība dažādu starpinstitūciju un ārvalstu </w:t>
      </w:r>
      <w:r>
        <w:rPr>
          <w:rFonts w:ascii="Times New Roman" w:hAnsi="Times New Roman" w:cs="Times New Roman"/>
          <w:sz w:val="24"/>
          <w:szCs w:val="24"/>
        </w:rPr>
        <w:t xml:space="preserve">institūciju </w:t>
      </w:r>
      <w:r w:rsidRPr="00C41916">
        <w:rPr>
          <w:rFonts w:ascii="Times New Roman" w:hAnsi="Times New Roman" w:cs="Times New Roman"/>
          <w:sz w:val="24"/>
          <w:szCs w:val="24"/>
        </w:rPr>
        <w:t>darba grupās.</w:t>
      </w:r>
      <w:r>
        <w:rPr>
          <w:rFonts w:ascii="Times New Roman" w:hAnsi="Times New Roman" w:cs="Times New Roman"/>
          <w:sz w:val="24"/>
          <w:szCs w:val="24"/>
        </w:rPr>
        <w:t xml:space="preserve"> Biroja amatpersonām </w:t>
      </w:r>
      <w:r w:rsidR="004A0414">
        <w:rPr>
          <w:rFonts w:ascii="Times New Roman" w:hAnsi="Times New Roman" w:cs="Times New Roman"/>
          <w:sz w:val="24"/>
          <w:szCs w:val="24"/>
        </w:rPr>
        <w:t>ir</w:t>
      </w:r>
      <w:r>
        <w:rPr>
          <w:rFonts w:ascii="Times New Roman" w:hAnsi="Times New Roman" w:cs="Times New Roman"/>
          <w:sz w:val="24"/>
          <w:szCs w:val="24"/>
        </w:rPr>
        <w:t xml:space="preserve"> iespēja celt savu profesionālo kvalifikāciju un iegūt papildu zināšanas, apmeklējot lekcijas, seminārus un mācības, tajā skaitā </w:t>
      </w:r>
      <w:r w:rsidR="002D03AA">
        <w:rPr>
          <w:rFonts w:ascii="Times New Roman" w:hAnsi="Times New Roman" w:cs="Times New Roman"/>
          <w:sz w:val="24"/>
          <w:szCs w:val="24"/>
        </w:rPr>
        <w:t xml:space="preserve">iespēja </w:t>
      </w:r>
      <w:r w:rsidR="00B820D5">
        <w:rPr>
          <w:rFonts w:ascii="Times New Roman" w:hAnsi="Times New Roman" w:cs="Times New Roman"/>
          <w:sz w:val="24"/>
          <w:szCs w:val="24"/>
        </w:rPr>
        <w:t>pilnveidot un attīstīt valodu prasmes.</w:t>
      </w:r>
    </w:p>
    <w:p w:rsidR="005C7C99" w:rsidRPr="00C41916" w:rsidRDefault="005C7C99"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Biroja amatpersonas un darbinieki darbojas vienotā hierarhiskā sistēmā, kur viens darbinieks ir padots citam darbiniekam. Biroja amatpersonas un darbinieki darbojas savas kompetences ietvaros un savus pienākumus pilda un īsteno patstāvīgi.</w:t>
      </w:r>
    </w:p>
    <w:p w:rsidR="005C7C99" w:rsidRDefault="005C7C99" w:rsidP="006C79D7">
      <w:pPr>
        <w:spacing w:after="0"/>
        <w:ind w:firstLine="709"/>
        <w:jc w:val="both"/>
        <w:rPr>
          <w:rFonts w:ascii="Times New Roman" w:hAnsi="Times New Roman" w:cs="Times New Roman"/>
          <w:sz w:val="24"/>
          <w:szCs w:val="24"/>
        </w:rPr>
      </w:pPr>
      <w:r w:rsidRPr="00C41916">
        <w:rPr>
          <w:rFonts w:ascii="Times New Roman" w:hAnsi="Times New Roman" w:cs="Times New Roman"/>
          <w:sz w:val="24"/>
          <w:szCs w:val="24"/>
        </w:rPr>
        <w:t>Biroja priekšnieka vietnieki vērtē tiem pakļauto nodaļu vadītājus un sniedz priekšlikumus viņu atalgojum</w:t>
      </w:r>
      <w:r w:rsidR="002D03AA">
        <w:rPr>
          <w:rFonts w:ascii="Times New Roman" w:hAnsi="Times New Roman" w:cs="Times New Roman"/>
          <w:sz w:val="24"/>
          <w:szCs w:val="24"/>
        </w:rPr>
        <w:t>a</w:t>
      </w:r>
      <w:r w:rsidRPr="00C41916">
        <w:rPr>
          <w:rFonts w:ascii="Times New Roman" w:hAnsi="Times New Roman" w:cs="Times New Roman"/>
          <w:sz w:val="24"/>
          <w:szCs w:val="24"/>
        </w:rPr>
        <w:t xml:space="preserve">, piemaksu un apbalvojumu noteikšanai. Biroja nodaļu vadītāji iesniedz tiešajam </w:t>
      </w:r>
      <w:r w:rsidR="002D03AA">
        <w:rPr>
          <w:rFonts w:ascii="Times New Roman" w:hAnsi="Times New Roman" w:cs="Times New Roman"/>
          <w:sz w:val="24"/>
          <w:szCs w:val="24"/>
        </w:rPr>
        <w:t>vadītājam</w:t>
      </w:r>
      <w:r w:rsidRPr="00C41916">
        <w:rPr>
          <w:rFonts w:ascii="Times New Roman" w:hAnsi="Times New Roman" w:cs="Times New Roman"/>
          <w:sz w:val="24"/>
          <w:szCs w:val="24"/>
        </w:rPr>
        <w:t xml:space="preserve"> priekšlikumus par nodaļas struktūru un darba organizāciju, darbinieku iecelšanu amatā un atbrīvošanu no amata, darbinieka pienākumu apjomu, darbības rezultātiem, materiālo un morālo stimulēšanu</w:t>
      </w:r>
      <w:r w:rsidR="002D03AA">
        <w:rPr>
          <w:rFonts w:ascii="Times New Roman" w:hAnsi="Times New Roman" w:cs="Times New Roman"/>
          <w:sz w:val="24"/>
          <w:szCs w:val="24"/>
        </w:rPr>
        <w:t xml:space="preserve"> darbinieka kvalifikācijas paaugstināšanu, kā arī</w:t>
      </w:r>
      <w:r w:rsidRPr="00C41916">
        <w:rPr>
          <w:rFonts w:ascii="Times New Roman" w:hAnsi="Times New Roman" w:cs="Times New Roman"/>
          <w:sz w:val="24"/>
          <w:szCs w:val="24"/>
        </w:rPr>
        <w:t xml:space="preserve"> sa</w:t>
      </w:r>
      <w:r w:rsidR="002D03AA">
        <w:rPr>
          <w:rFonts w:ascii="Times New Roman" w:hAnsi="Times New Roman" w:cs="Times New Roman"/>
          <w:sz w:val="24"/>
          <w:szCs w:val="24"/>
        </w:rPr>
        <w:t>ukšanu pie disciplināratbildības</w:t>
      </w:r>
      <w:r w:rsidRPr="00C41916">
        <w:rPr>
          <w:rFonts w:ascii="Times New Roman" w:hAnsi="Times New Roman" w:cs="Times New Roman"/>
          <w:sz w:val="24"/>
          <w:szCs w:val="24"/>
        </w:rPr>
        <w:t xml:space="preserve">. Biroja </w:t>
      </w:r>
      <w:r>
        <w:rPr>
          <w:rFonts w:ascii="Times New Roman" w:hAnsi="Times New Roman" w:cs="Times New Roman"/>
          <w:sz w:val="24"/>
          <w:szCs w:val="24"/>
        </w:rPr>
        <w:t>p</w:t>
      </w:r>
      <w:r w:rsidRPr="00C41916">
        <w:rPr>
          <w:rFonts w:ascii="Times New Roman" w:hAnsi="Times New Roman" w:cs="Times New Roman"/>
          <w:sz w:val="24"/>
          <w:szCs w:val="24"/>
        </w:rPr>
        <w:t>ersonāla vadības funkciju izpildi un to attīstību iestādē nodrošina Juridiskā nodaļa.</w:t>
      </w:r>
      <w:r w:rsidR="00CC0CD3">
        <w:rPr>
          <w:rFonts w:ascii="Times New Roman" w:hAnsi="Times New Roman" w:cs="Times New Roman"/>
          <w:sz w:val="24"/>
          <w:szCs w:val="24"/>
        </w:rPr>
        <w:t xml:space="preserve"> Biroja struktūra atspoguļota 8.attēlā.</w:t>
      </w:r>
    </w:p>
    <w:p w:rsidR="005C7C99" w:rsidRDefault="0052015E" w:rsidP="006C79D7">
      <w:pPr>
        <w:pStyle w:val="NoSpacing"/>
        <w:spacing w:before="240" w:line="276" w:lineRule="auto"/>
        <w:rPr>
          <w:lang w:eastAsia="lv-LV"/>
        </w:rPr>
      </w:pPr>
      <w:r w:rsidRPr="0038447A">
        <w:rPr>
          <w:noProof/>
          <w:sz w:val="26"/>
          <w:szCs w:val="26"/>
          <w:lang w:eastAsia="lv-LV"/>
        </w:rPr>
        <w:lastRenderedPageBreak/>
        <w:drawing>
          <wp:inline distT="0" distB="0" distL="0" distR="0" wp14:anchorId="2EC2E3D5" wp14:editId="05AB254B">
            <wp:extent cx="5519840" cy="3124862"/>
            <wp:effectExtent l="0" t="0" r="5080" b="0"/>
            <wp:docPr id="4" name="Picture 4" descr="struktura_lv_2017_2.jpg (69,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ktura_lv_2017_2.jpg (69,79 K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1830" cy="3125988"/>
                    </a:xfrm>
                    <a:prstGeom prst="rect">
                      <a:avLst/>
                    </a:prstGeom>
                    <a:noFill/>
                    <a:ln>
                      <a:noFill/>
                    </a:ln>
                  </pic:spPr>
                </pic:pic>
              </a:graphicData>
            </a:graphic>
          </wp:inline>
        </w:drawing>
      </w:r>
    </w:p>
    <w:p w:rsidR="005C7C99" w:rsidRPr="00C41916" w:rsidRDefault="00CC0CD3" w:rsidP="006C79D7">
      <w:pPr>
        <w:pStyle w:val="NoSpacing"/>
        <w:spacing w:line="276" w:lineRule="auto"/>
        <w:jc w:val="center"/>
        <w:rPr>
          <w:rFonts w:ascii="Times New Roman" w:hAnsi="Times New Roman" w:cs="Times New Roman"/>
          <w:i/>
          <w:sz w:val="24"/>
          <w:szCs w:val="24"/>
          <w:lang w:eastAsia="lv-LV"/>
        </w:rPr>
      </w:pPr>
      <w:r>
        <w:rPr>
          <w:rFonts w:ascii="Times New Roman" w:hAnsi="Times New Roman" w:cs="Times New Roman"/>
          <w:i/>
          <w:sz w:val="24"/>
          <w:szCs w:val="24"/>
          <w:lang w:eastAsia="lv-LV"/>
        </w:rPr>
        <w:t>8</w:t>
      </w:r>
      <w:r w:rsidR="005C7C99" w:rsidRPr="00C41916">
        <w:rPr>
          <w:rFonts w:ascii="Times New Roman" w:hAnsi="Times New Roman" w:cs="Times New Roman"/>
          <w:i/>
          <w:sz w:val="24"/>
          <w:szCs w:val="24"/>
          <w:lang w:eastAsia="lv-LV"/>
        </w:rPr>
        <w:t>.attēls.</w:t>
      </w:r>
      <w:r w:rsidR="0052015E">
        <w:rPr>
          <w:rFonts w:ascii="Times New Roman" w:hAnsi="Times New Roman" w:cs="Times New Roman"/>
          <w:i/>
          <w:sz w:val="24"/>
          <w:szCs w:val="24"/>
          <w:lang w:eastAsia="lv-LV"/>
        </w:rPr>
        <w:t xml:space="preserve"> </w:t>
      </w:r>
      <w:r w:rsidR="001C1266">
        <w:rPr>
          <w:rFonts w:ascii="Times New Roman" w:hAnsi="Times New Roman" w:cs="Times New Roman"/>
          <w:i/>
          <w:sz w:val="24"/>
          <w:szCs w:val="24"/>
          <w:lang w:eastAsia="lv-LV"/>
        </w:rPr>
        <w:t>Biroja struktūra</w:t>
      </w:r>
    </w:p>
    <w:p w:rsidR="005C7C99" w:rsidRPr="00C41916" w:rsidRDefault="005C7C99" w:rsidP="006C79D7">
      <w:pPr>
        <w:spacing w:after="0"/>
        <w:ind w:firstLine="567"/>
        <w:jc w:val="both"/>
        <w:rPr>
          <w:rFonts w:ascii="Times New Roman" w:hAnsi="Times New Roman" w:cs="Times New Roman"/>
          <w:sz w:val="24"/>
          <w:szCs w:val="24"/>
        </w:rPr>
      </w:pPr>
    </w:p>
    <w:p w:rsidR="005C7C99" w:rsidRDefault="005C7C99" w:rsidP="006C79D7">
      <w:pPr>
        <w:spacing w:after="0"/>
        <w:ind w:firstLine="709"/>
        <w:jc w:val="both"/>
        <w:rPr>
          <w:rFonts w:ascii="Times New Roman" w:hAnsi="Times New Roman" w:cs="Times New Roman"/>
          <w:sz w:val="24"/>
          <w:szCs w:val="24"/>
        </w:rPr>
        <w:sectPr w:rsidR="005C7C99" w:rsidSect="00F069CC">
          <w:headerReference w:type="default" r:id="rId21"/>
          <w:headerReference w:type="first" r:id="rId22"/>
          <w:pgSz w:w="11906" w:h="16838" w:code="9"/>
          <w:pgMar w:top="1134" w:right="1134" w:bottom="1134" w:left="1701" w:header="709" w:footer="709" w:gutter="0"/>
          <w:cols w:space="708"/>
          <w:titlePg/>
          <w:docGrid w:linePitch="360"/>
        </w:sectPr>
      </w:pPr>
      <w:r w:rsidRPr="00C41916">
        <w:rPr>
          <w:rFonts w:ascii="Times New Roman" w:hAnsi="Times New Roman" w:cs="Times New Roman"/>
          <w:sz w:val="24"/>
          <w:szCs w:val="24"/>
        </w:rPr>
        <w:t>Birojā ir izstrādāts Korupcijas novēršanas un apkarošanas biroja iekšējā audita stratēģiskais plāns 2016.</w:t>
      </w:r>
      <w:r w:rsidR="002D03AA">
        <w:rPr>
          <w:rFonts w:ascii="Times New Roman" w:hAnsi="Times New Roman" w:cs="Times New Roman"/>
          <w:sz w:val="24"/>
          <w:szCs w:val="24"/>
        </w:rPr>
        <w:t>– 2</w:t>
      </w:r>
      <w:r w:rsidRPr="00C41916">
        <w:rPr>
          <w:rFonts w:ascii="Times New Roman" w:hAnsi="Times New Roman" w:cs="Times New Roman"/>
          <w:sz w:val="24"/>
          <w:szCs w:val="24"/>
        </w:rPr>
        <w:t>020.gadam. Lai nodrošinātu visu Biroja procesu iekšēj</w:t>
      </w:r>
      <w:r w:rsidR="00E666C6">
        <w:rPr>
          <w:rFonts w:ascii="Times New Roman" w:hAnsi="Times New Roman" w:cs="Times New Roman"/>
          <w:sz w:val="24"/>
          <w:szCs w:val="24"/>
        </w:rPr>
        <w:t>ās</w:t>
      </w:r>
      <w:r w:rsidRPr="00C41916">
        <w:rPr>
          <w:rFonts w:ascii="Times New Roman" w:hAnsi="Times New Roman" w:cs="Times New Roman"/>
          <w:sz w:val="24"/>
          <w:szCs w:val="24"/>
        </w:rPr>
        <w:t xml:space="preserve"> kontroles sistēmas novērtēšanu, ir izveidots detalizēts Biroja procesu saraksts un veikts pr</w:t>
      </w:r>
      <w:r w:rsidR="00E666C6">
        <w:rPr>
          <w:rFonts w:ascii="Times New Roman" w:hAnsi="Times New Roman" w:cs="Times New Roman"/>
          <w:sz w:val="24"/>
          <w:szCs w:val="24"/>
        </w:rPr>
        <w:t>ocesu novērtējums, kā arī laik</w:t>
      </w:r>
      <w:r w:rsidRPr="00C41916">
        <w:rPr>
          <w:rFonts w:ascii="Times New Roman" w:hAnsi="Times New Roman" w:cs="Times New Roman"/>
          <w:sz w:val="24"/>
          <w:szCs w:val="24"/>
        </w:rPr>
        <w:t>posmā no 2016.</w:t>
      </w:r>
      <w:r w:rsidR="00DD02E3" w:rsidRPr="00DD02E3">
        <w:rPr>
          <w:rFonts w:ascii="Times New Roman" w:hAnsi="Times New Roman" w:cs="Times New Roman"/>
          <w:sz w:val="24"/>
          <w:szCs w:val="24"/>
        </w:rPr>
        <w:t xml:space="preserve"> </w:t>
      </w:r>
      <w:r w:rsidR="00DD02E3">
        <w:rPr>
          <w:rFonts w:ascii="Times New Roman" w:hAnsi="Times New Roman" w:cs="Times New Roman"/>
          <w:sz w:val="24"/>
          <w:szCs w:val="24"/>
        </w:rPr>
        <w:t>–</w:t>
      </w:r>
      <w:r w:rsidRPr="00C41916">
        <w:rPr>
          <w:rFonts w:ascii="Times New Roman" w:hAnsi="Times New Roman" w:cs="Times New Roman"/>
          <w:sz w:val="24"/>
          <w:szCs w:val="24"/>
        </w:rPr>
        <w:t>2020.gadam paredzēts aptvert visus Biroja procesus.</w:t>
      </w:r>
    </w:p>
    <w:p w:rsidR="005C7C99" w:rsidRPr="00F24C19" w:rsidRDefault="0052015E" w:rsidP="00F24C19">
      <w:pPr>
        <w:pStyle w:val="Heading2"/>
        <w:spacing w:before="0"/>
        <w:rPr>
          <w:sz w:val="28"/>
          <w:szCs w:val="28"/>
        </w:rPr>
      </w:pPr>
      <w:bookmarkStart w:id="62" w:name="_Toc474219924"/>
      <w:bookmarkStart w:id="63" w:name="_Toc474220928"/>
      <w:bookmarkStart w:id="64" w:name="_Toc474410935"/>
      <w:bookmarkStart w:id="65" w:name="_Toc505249173"/>
      <w:r w:rsidRPr="00F24C19">
        <w:rPr>
          <w:sz w:val="28"/>
          <w:szCs w:val="28"/>
        </w:rPr>
        <w:lastRenderedPageBreak/>
        <w:t>6. </w:t>
      </w:r>
      <w:r w:rsidR="005C7C99" w:rsidRPr="00F24C19">
        <w:rPr>
          <w:sz w:val="28"/>
          <w:szCs w:val="28"/>
        </w:rPr>
        <w:t>Biroja stratēģijas izpilde</w:t>
      </w:r>
      <w:bookmarkEnd w:id="62"/>
      <w:bookmarkEnd w:id="63"/>
      <w:bookmarkEnd w:id="64"/>
      <w:bookmarkEnd w:id="65"/>
    </w:p>
    <w:p w:rsidR="005C7C99" w:rsidRPr="00C41916" w:rsidRDefault="005C7C99" w:rsidP="006C79D7">
      <w:pPr>
        <w:spacing w:after="0"/>
        <w:ind w:firstLine="709"/>
        <w:rPr>
          <w:rFonts w:ascii="Times New Roman" w:hAnsi="Times New Roman"/>
          <w:sz w:val="24"/>
          <w:szCs w:val="24"/>
        </w:rPr>
      </w:pPr>
    </w:p>
    <w:p w:rsidR="0050247E" w:rsidRDefault="0050247E" w:rsidP="006C79D7">
      <w:pPr>
        <w:spacing w:after="0"/>
        <w:ind w:firstLine="709"/>
        <w:jc w:val="both"/>
        <w:rPr>
          <w:rFonts w:ascii="Times New Roman" w:hAnsi="Times New Roman"/>
          <w:sz w:val="24"/>
          <w:szCs w:val="24"/>
        </w:rPr>
      </w:pPr>
      <w:r>
        <w:rPr>
          <w:rFonts w:ascii="Times New Roman" w:hAnsi="Times New Roman"/>
          <w:sz w:val="24"/>
          <w:szCs w:val="24"/>
        </w:rPr>
        <w:t xml:space="preserve">Pārskata periodā </w:t>
      </w:r>
      <w:r w:rsidR="00E666C6">
        <w:rPr>
          <w:rFonts w:ascii="Times New Roman" w:hAnsi="Times New Roman"/>
          <w:sz w:val="24"/>
          <w:szCs w:val="24"/>
        </w:rPr>
        <w:t>noslēdzās</w:t>
      </w:r>
      <w:r>
        <w:rPr>
          <w:rFonts w:ascii="Times New Roman" w:hAnsi="Times New Roman"/>
          <w:sz w:val="24"/>
          <w:szCs w:val="24"/>
        </w:rPr>
        <w:t xml:space="preserve"> “Korupcijas novēršanas un apkarošanas darbības stratēģijas 2014.–2016.gadam” izpilde, sa</w:t>
      </w:r>
      <w:r w:rsidR="00E666C6">
        <w:rPr>
          <w:rFonts w:ascii="Times New Roman" w:hAnsi="Times New Roman"/>
          <w:sz w:val="24"/>
          <w:szCs w:val="24"/>
        </w:rPr>
        <w:t>vukārt Biroja stratēģijas 2017.–</w:t>
      </w:r>
      <w:r>
        <w:rPr>
          <w:rFonts w:ascii="Times New Roman" w:hAnsi="Times New Roman"/>
          <w:sz w:val="24"/>
          <w:szCs w:val="24"/>
        </w:rPr>
        <w:t xml:space="preserve">2019.gadam izstrāde ieilga, tādējādi pārskata periodā Birojs savā darbībā balstījās gan uz </w:t>
      </w:r>
      <w:r w:rsidR="008928F5">
        <w:rPr>
          <w:rFonts w:ascii="Times New Roman" w:hAnsi="Times New Roman"/>
          <w:sz w:val="24"/>
          <w:szCs w:val="24"/>
        </w:rPr>
        <w:t>Pamatnostādnēs</w:t>
      </w:r>
      <w:r>
        <w:rPr>
          <w:rFonts w:ascii="Times New Roman" w:hAnsi="Times New Roman"/>
          <w:sz w:val="24"/>
          <w:szCs w:val="24"/>
        </w:rPr>
        <w:t>, gan uz Biroja darbības stratēģijā 2014.–2016.gadam, gan uz Biroja darbības stratēģijas 2017.</w:t>
      </w:r>
      <w:r w:rsidR="00E666C6" w:rsidRPr="00E666C6">
        <w:rPr>
          <w:rFonts w:ascii="Times New Roman" w:hAnsi="Times New Roman"/>
          <w:sz w:val="24"/>
          <w:szCs w:val="24"/>
        </w:rPr>
        <w:t xml:space="preserve"> </w:t>
      </w:r>
      <w:r w:rsidR="00E666C6">
        <w:rPr>
          <w:rFonts w:ascii="Times New Roman" w:hAnsi="Times New Roman"/>
          <w:sz w:val="24"/>
          <w:szCs w:val="24"/>
        </w:rPr>
        <w:t>–</w:t>
      </w:r>
      <w:r>
        <w:rPr>
          <w:rFonts w:ascii="Times New Roman" w:hAnsi="Times New Roman"/>
          <w:sz w:val="24"/>
          <w:szCs w:val="24"/>
        </w:rPr>
        <w:t>2019.gadam projektā ietverto.</w:t>
      </w:r>
    </w:p>
    <w:p w:rsidR="00AC323A" w:rsidRDefault="00AC323A" w:rsidP="006C79D7">
      <w:pPr>
        <w:spacing w:after="0"/>
        <w:jc w:val="right"/>
        <w:rPr>
          <w:rFonts w:ascii="Times New Roman" w:hAnsi="Times New Roman"/>
          <w:i/>
          <w:sz w:val="24"/>
          <w:szCs w:val="24"/>
        </w:rPr>
      </w:pPr>
    </w:p>
    <w:p w:rsidR="005C7C99" w:rsidRPr="00C41916" w:rsidRDefault="00BC29F5" w:rsidP="006C79D7">
      <w:pPr>
        <w:spacing w:after="0"/>
        <w:jc w:val="right"/>
        <w:rPr>
          <w:rFonts w:ascii="Times New Roman" w:hAnsi="Times New Roman"/>
          <w:i/>
          <w:sz w:val="24"/>
          <w:szCs w:val="24"/>
        </w:rPr>
      </w:pPr>
      <w:r>
        <w:rPr>
          <w:rFonts w:ascii="Times New Roman" w:hAnsi="Times New Roman"/>
          <w:i/>
          <w:sz w:val="24"/>
          <w:szCs w:val="24"/>
        </w:rPr>
        <w:t>1</w:t>
      </w:r>
      <w:r w:rsidR="005C7C99" w:rsidRPr="00C41916">
        <w:rPr>
          <w:rFonts w:ascii="Times New Roman" w:hAnsi="Times New Roman"/>
          <w:i/>
          <w:sz w:val="24"/>
          <w:szCs w:val="24"/>
        </w:rPr>
        <w:t>.tabula</w:t>
      </w:r>
      <w:r w:rsidR="00AC323A">
        <w:rPr>
          <w:rFonts w:ascii="Times New Roman" w:hAnsi="Times New Roman"/>
          <w:i/>
          <w:sz w:val="24"/>
          <w:szCs w:val="24"/>
        </w:rPr>
        <w:t>. Rezultatīvie rādītāji</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992"/>
        <w:gridCol w:w="993"/>
        <w:gridCol w:w="992"/>
        <w:gridCol w:w="1134"/>
        <w:gridCol w:w="5670"/>
      </w:tblGrid>
      <w:tr w:rsidR="007B12D3" w:rsidRPr="00C41916" w:rsidTr="00BC29F5">
        <w:trPr>
          <w:trHeight w:val="633"/>
        </w:trPr>
        <w:tc>
          <w:tcPr>
            <w:tcW w:w="1985" w:type="dxa"/>
            <w:shd w:val="clear" w:color="auto" w:fill="auto"/>
            <w:vAlign w:val="center"/>
          </w:tcPr>
          <w:p w:rsidR="007B12D3" w:rsidRPr="00C52763" w:rsidRDefault="00BC29F5" w:rsidP="006C79D7">
            <w:pPr>
              <w:spacing w:after="0"/>
              <w:jc w:val="center"/>
              <w:rPr>
                <w:rFonts w:ascii="Times New Roman" w:hAnsi="Times New Roman"/>
              </w:rPr>
            </w:pPr>
            <w:r w:rsidRPr="00C41916">
              <w:rPr>
                <w:rFonts w:ascii="Times New Roman" w:hAnsi="Times New Roman"/>
                <w:b/>
              </w:rPr>
              <w:t>Mērķis</w:t>
            </w:r>
          </w:p>
        </w:tc>
        <w:tc>
          <w:tcPr>
            <w:tcW w:w="2268" w:type="dxa"/>
            <w:shd w:val="clear" w:color="auto" w:fill="auto"/>
            <w:vAlign w:val="center"/>
          </w:tcPr>
          <w:p w:rsidR="007B12D3" w:rsidRPr="00C52763" w:rsidRDefault="00BC29F5" w:rsidP="006C79D7">
            <w:pPr>
              <w:spacing w:after="0"/>
              <w:jc w:val="center"/>
              <w:rPr>
                <w:rFonts w:ascii="Times New Roman" w:hAnsi="Times New Roman"/>
              </w:rPr>
            </w:pPr>
            <w:r w:rsidRPr="00C41916">
              <w:rPr>
                <w:rFonts w:ascii="Times New Roman" w:hAnsi="Times New Roman"/>
                <w:b/>
              </w:rPr>
              <w:t>Rezultāts</w:t>
            </w:r>
          </w:p>
        </w:tc>
        <w:tc>
          <w:tcPr>
            <w:tcW w:w="992" w:type="dxa"/>
            <w:shd w:val="clear" w:color="auto" w:fill="auto"/>
            <w:vAlign w:val="center"/>
          </w:tcPr>
          <w:p w:rsidR="007B12D3" w:rsidRPr="00C41916" w:rsidRDefault="007B12D3" w:rsidP="006C79D7">
            <w:pPr>
              <w:spacing w:after="0"/>
              <w:jc w:val="center"/>
              <w:rPr>
                <w:rFonts w:ascii="Times New Roman" w:hAnsi="Times New Roman"/>
              </w:rPr>
            </w:pPr>
            <w:r w:rsidRPr="00C41916">
              <w:rPr>
                <w:rFonts w:ascii="Times New Roman" w:hAnsi="Times New Roman"/>
              </w:rPr>
              <w:t>201</w:t>
            </w:r>
            <w:r>
              <w:rPr>
                <w:rFonts w:ascii="Times New Roman" w:hAnsi="Times New Roman"/>
              </w:rPr>
              <w:t xml:space="preserve">5 </w:t>
            </w:r>
            <w:r w:rsidRPr="00C41916">
              <w:rPr>
                <w:rFonts w:ascii="Times New Roman" w:hAnsi="Times New Roman"/>
              </w:rPr>
              <w:t>izpilde</w:t>
            </w:r>
          </w:p>
        </w:tc>
        <w:tc>
          <w:tcPr>
            <w:tcW w:w="993" w:type="dxa"/>
            <w:shd w:val="clear" w:color="auto" w:fill="auto"/>
            <w:vAlign w:val="center"/>
          </w:tcPr>
          <w:p w:rsidR="007B12D3" w:rsidRPr="00C41916" w:rsidRDefault="007B12D3" w:rsidP="006C79D7">
            <w:pPr>
              <w:spacing w:after="0"/>
              <w:jc w:val="center"/>
              <w:rPr>
                <w:rFonts w:ascii="Times New Roman" w:hAnsi="Times New Roman"/>
              </w:rPr>
            </w:pPr>
            <w:r w:rsidRPr="00C41916">
              <w:rPr>
                <w:rFonts w:ascii="Times New Roman" w:hAnsi="Times New Roman"/>
              </w:rPr>
              <w:t>201</w:t>
            </w:r>
            <w:r>
              <w:rPr>
                <w:rFonts w:ascii="Times New Roman" w:hAnsi="Times New Roman"/>
              </w:rPr>
              <w:t>6</w:t>
            </w:r>
          </w:p>
          <w:p w:rsidR="007B12D3" w:rsidRPr="00C41916" w:rsidRDefault="007B12D3" w:rsidP="006C79D7">
            <w:pPr>
              <w:spacing w:after="0"/>
              <w:jc w:val="center"/>
              <w:rPr>
                <w:rFonts w:ascii="Times New Roman" w:hAnsi="Times New Roman"/>
                <w:b/>
              </w:rPr>
            </w:pPr>
            <w:r w:rsidRPr="00C41916">
              <w:rPr>
                <w:rFonts w:ascii="Times New Roman" w:hAnsi="Times New Roman"/>
              </w:rPr>
              <w:t>izpilde</w:t>
            </w:r>
          </w:p>
        </w:tc>
        <w:tc>
          <w:tcPr>
            <w:tcW w:w="992" w:type="dxa"/>
            <w:vAlign w:val="center"/>
          </w:tcPr>
          <w:p w:rsidR="007B12D3" w:rsidRPr="007731E8" w:rsidRDefault="007B12D3" w:rsidP="006C79D7">
            <w:pPr>
              <w:spacing w:after="0"/>
              <w:jc w:val="center"/>
              <w:rPr>
                <w:rFonts w:ascii="Times New Roman" w:hAnsi="Times New Roman"/>
              </w:rPr>
            </w:pPr>
            <w:r w:rsidRPr="007731E8">
              <w:rPr>
                <w:rFonts w:ascii="Times New Roman" w:hAnsi="Times New Roman"/>
              </w:rPr>
              <w:t>201</w:t>
            </w:r>
            <w:r>
              <w:rPr>
                <w:rFonts w:ascii="Times New Roman" w:hAnsi="Times New Roman"/>
              </w:rPr>
              <w:t>7</w:t>
            </w:r>
            <w:r w:rsidRPr="007731E8">
              <w:rPr>
                <w:rFonts w:ascii="Times New Roman" w:hAnsi="Times New Roman"/>
              </w:rPr>
              <w:t xml:space="preserve"> plāns</w:t>
            </w:r>
          </w:p>
        </w:tc>
        <w:tc>
          <w:tcPr>
            <w:tcW w:w="1134" w:type="dxa"/>
            <w:shd w:val="clear" w:color="auto" w:fill="auto"/>
            <w:vAlign w:val="center"/>
          </w:tcPr>
          <w:p w:rsidR="007B12D3" w:rsidRPr="00C41916" w:rsidRDefault="007B12D3" w:rsidP="006C79D7">
            <w:pPr>
              <w:spacing w:after="0"/>
              <w:jc w:val="center"/>
              <w:rPr>
                <w:rFonts w:ascii="Times New Roman" w:hAnsi="Times New Roman"/>
                <w:b/>
              </w:rPr>
            </w:pPr>
            <w:r w:rsidRPr="00C41916">
              <w:rPr>
                <w:rFonts w:ascii="Times New Roman" w:hAnsi="Times New Roman"/>
                <w:b/>
              </w:rPr>
              <w:t>201</w:t>
            </w:r>
            <w:r>
              <w:rPr>
                <w:rFonts w:ascii="Times New Roman" w:hAnsi="Times New Roman"/>
                <w:b/>
              </w:rPr>
              <w:t>7</w:t>
            </w:r>
          </w:p>
          <w:p w:rsidR="007B12D3" w:rsidRPr="00C41916" w:rsidRDefault="007B12D3" w:rsidP="006C79D7">
            <w:pPr>
              <w:spacing w:after="0"/>
              <w:jc w:val="center"/>
              <w:rPr>
                <w:rFonts w:ascii="Times New Roman" w:hAnsi="Times New Roman"/>
                <w:b/>
              </w:rPr>
            </w:pPr>
            <w:r w:rsidRPr="00C41916">
              <w:rPr>
                <w:rFonts w:ascii="Times New Roman" w:hAnsi="Times New Roman"/>
                <w:b/>
              </w:rPr>
              <w:t>izpilde</w:t>
            </w:r>
          </w:p>
        </w:tc>
        <w:tc>
          <w:tcPr>
            <w:tcW w:w="5670" w:type="dxa"/>
            <w:shd w:val="clear" w:color="auto" w:fill="auto"/>
            <w:vAlign w:val="center"/>
          </w:tcPr>
          <w:p w:rsidR="007B12D3" w:rsidRPr="00BC29F5" w:rsidRDefault="00BC29F5" w:rsidP="006C79D7">
            <w:pPr>
              <w:spacing w:after="0"/>
              <w:ind w:left="32" w:firstLine="1"/>
              <w:jc w:val="center"/>
              <w:rPr>
                <w:rFonts w:ascii="Times New Roman" w:hAnsi="Times New Roman" w:cs="Times New Roman"/>
              </w:rPr>
            </w:pPr>
            <w:r>
              <w:rPr>
                <w:rFonts w:ascii="Times New Roman" w:hAnsi="Times New Roman" w:cs="Times New Roman"/>
                <w:b/>
              </w:rPr>
              <w:t>K</w:t>
            </w:r>
            <w:r w:rsidRPr="00BC29F5">
              <w:rPr>
                <w:rFonts w:ascii="Times New Roman" w:hAnsi="Times New Roman" w:cs="Times New Roman"/>
                <w:b/>
              </w:rPr>
              <w:t>omentārs</w:t>
            </w:r>
          </w:p>
        </w:tc>
      </w:tr>
      <w:tr w:rsidR="007B12D3" w:rsidRPr="00C41916" w:rsidTr="00BC29F5">
        <w:trPr>
          <w:trHeight w:val="633"/>
        </w:trPr>
        <w:tc>
          <w:tcPr>
            <w:tcW w:w="1985" w:type="dxa"/>
            <w:shd w:val="clear" w:color="auto" w:fill="auto"/>
            <w:vAlign w:val="center"/>
          </w:tcPr>
          <w:p w:rsidR="007B12D3" w:rsidRPr="00C41916" w:rsidRDefault="007B12D3" w:rsidP="006C79D7">
            <w:pPr>
              <w:spacing w:after="0"/>
              <w:jc w:val="center"/>
              <w:rPr>
                <w:rFonts w:ascii="Times New Roman" w:hAnsi="Times New Roman"/>
              </w:rPr>
            </w:pPr>
            <w:r>
              <w:rPr>
                <w:rFonts w:ascii="Times New Roman" w:hAnsi="Times New Roman"/>
              </w:rPr>
              <w:t>Mazināt</w:t>
            </w:r>
            <w:r w:rsidRPr="00C52763">
              <w:rPr>
                <w:rFonts w:ascii="Times New Roman" w:hAnsi="Times New Roman"/>
              </w:rPr>
              <w:t xml:space="preserve"> korupcijas izplatības līmeni</w:t>
            </w:r>
          </w:p>
        </w:tc>
        <w:tc>
          <w:tcPr>
            <w:tcW w:w="2268" w:type="dxa"/>
            <w:shd w:val="clear" w:color="auto" w:fill="auto"/>
          </w:tcPr>
          <w:p w:rsidR="007B12D3" w:rsidRPr="00C41916" w:rsidRDefault="007B12D3" w:rsidP="006C79D7">
            <w:pPr>
              <w:spacing w:before="120" w:after="120"/>
              <w:rPr>
                <w:rFonts w:ascii="Times New Roman" w:hAnsi="Times New Roman"/>
              </w:rPr>
            </w:pPr>
            <w:r w:rsidRPr="00C52763">
              <w:rPr>
                <w:rFonts w:ascii="Times New Roman" w:hAnsi="Times New Roman"/>
              </w:rPr>
              <w:t xml:space="preserve">Uzlabojas Korupcijas uztveres indekss (vērtējums 100 punktu sistēmā, kur </w:t>
            </w:r>
            <w:r>
              <w:rPr>
                <w:rFonts w:ascii="Times New Roman" w:hAnsi="Times New Roman"/>
              </w:rPr>
              <w:t xml:space="preserve">“100” nozīmē “korupcijas nav“) </w:t>
            </w:r>
          </w:p>
        </w:tc>
        <w:tc>
          <w:tcPr>
            <w:tcW w:w="992" w:type="dxa"/>
            <w:shd w:val="clear" w:color="auto" w:fill="auto"/>
            <w:vAlign w:val="center"/>
          </w:tcPr>
          <w:p w:rsidR="007B12D3" w:rsidRPr="00C41916" w:rsidRDefault="007B12D3" w:rsidP="006C79D7">
            <w:pPr>
              <w:pStyle w:val="ListParagraph"/>
              <w:spacing w:after="0"/>
              <w:ind w:left="34"/>
              <w:jc w:val="center"/>
              <w:rPr>
                <w:rFonts w:ascii="Times New Roman" w:hAnsi="Times New Roman"/>
              </w:rPr>
            </w:pPr>
            <w:r w:rsidRPr="00C41916">
              <w:rPr>
                <w:rFonts w:ascii="Times New Roman" w:hAnsi="Times New Roman"/>
              </w:rPr>
              <w:t>55</w:t>
            </w:r>
          </w:p>
        </w:tc>
        <w:tc>
          <w:tcPr>
            <w:tcW w:w="993" w:type="dxa"/>
            <w:shd w:val="clear" w:color="auto" w:fill="auto"/>
            <w:vAlign w:val="center"/>
          </w:tcPr>
          <w:p w:rsidR="007B12D3" w:rsidRPr="00C41916" w:rsidRDefault="007B12D3" w:rsidP="006C79D7">
            <w:pPr>
              <w:pStyle w:val="ListParagraph"/>
              <w:spacing w:after="0"/>
              <w:ind w:left="34"/>
              <w:jc w:val="center"/>
              <w:rPr>
                <w:rFonts w:ascii="Times New Roman" w:hAnsi="Times New Roman"/>
              </w:rPr>
            </w:pPr>
            <w:r w:rsidRPr="00C41916">
              <w:rPr>
                <w:rFonts w:ascii="Times New Roman" w:hAnsi="Times New Roman"/>
              </w:rPr>
              <w:t>57</w:t>
            </w:r>
          </w:p>
        </w:tc>
        <w:tc>
          <w:tcPr>
            <w:tcW w:w="992" w:type="dxa"/>
            <w:vAlign w:val="center"/>
          </w:tcPr>
          <w:p w:rsidR="007B12D3" w:rsidRPr="00C41916" w:rsidRDefault="007B12D3" w:rsidP="006C79D7">
            <w:pPr>
              <w:pStyle w:val="ListParagraph"/>
              <w:spacing w:after="0"/>
              <w:ind w:left="34"/>
              <w:jc w:val="center"/>
              <w:rPr>
                <w:rFonts w:ascii="Times New Roman" w:hAnsi="Times New Roman"/>
              </w:rPr>
            </w:pPr>
            <w:r>
              <w:rPr>
                <w:rFonts w:ascii="Times New Roman" w:hAnsi="Times New Roman"/>
              </w:rPr>
              <w:t>60</w:t>
            </w:r>
          </w:p>
        </w:tc>
        <w:tc>
          <w:tcPr>
            <w:tcW w:w="1134" w:type="dxa"/>
            <w:shd w:val="clear" w:color="auto" w:fill="auto"/>
            <w:vAlign w:val="center"/>
          </w:tcPr>
          <w:p w:rsidR="007B12D3" w:rsidRPr="000A47E0" w:rsidRDefault="007B12D3" w:rsidP="006C79D7">
            <w:pPr>
              <w:pStyle w:val="ListParagraph"/>
              <w:spacing w:after="0"/>
              <w:ind w:left="34"/>
              <w:jc w:val="center"/>
              <w:rPr>
                <w:rFonts w:ascii="Times New Roman" w:hAnsi="Times New Roman"/>
                <w:b/>
              </w:rPr>
            </w:pPr>
            <w:r w:rsidRPr="000A47E0">
              <w:rPr>
                <w:rFonts w:ascii="Times New Roman" w:hAnsi="Times New Roman"/>
                <w:b/>
              </w:rPr>
              <w:t>n/a</w:t>
            </w:r>
          </w:p>
        </w:tc>
        <w:tc>
          <w:tcPr>
            <w:tcW w:w="5670" w:type="dxa"/>
            <w:shd w:val="clear" w:color="auto" w:fill="auto"/>
            <w:vAlign w:val="center"/>
          </w:tcPr>
          <w:p w:rsidR="007B12D3" w:rsidRPr="00C41916" w:rsidRDefault="007B12D3" w:rsidP="006C79D7">
            <w:pPr>
              <w:spacing w:after="0"/>
              <w:ind w:left="32" w:firstLine="426"/>
              <w:jc w:val="both"/>
              <w:rPr>
                <w:rFonts w:ascii="Times New Roman" w:hAnsi="Times New Roman"/>
              </w:rPr>
            </w:pPr>
            <w:r>
              <w:rPr>
                <w:rFonts w:ascii="Times New Roman" w:hAnsi="Times New Roman"/>
              </w:rPr>
              <w:t>Ziņojuma sagatavošanas brīdī nav publicēts s</w:t>
            </w:r>
            <w:r w:rsidRPr="000A47E0">
              <w:rPr>
                <w:rFonts w:ascii="Times New Roman" w:hAnsi="Times New Roman"/>
              </w:rPr>
              <w:t xml:space="preserve">tarptautiskās pretkorupcijas organizācijas </w:t>
            </w:r>
            <w:proofErr w:type="spellStart"/>
            <w:r w:rsidRPr="000A47E0">
              <w:rPr>
                <w:rFonts w:ascii="Times New Roman" w:hAnsi="Times New Roman"/>
                <w:i/>
              </w:rPr>
              <w:t>Transparency</w:t>
            </w:r>
            <w:proofErr w:type="spellEnd"/>
            <w:r w:rsidRPr="000A47E0">
              <w:rPr>
                <w:rFonts w:ascii="Times New Roman" w:hAnsi="Times New Roman"/>
                <w:i/>
              </w:rPr>
              <w:t xml:space="preserve"> </w:t>
            </w:r>
            <w:proofErr w:type="spellStart"/>
            <w:r w:rsidRPr="000A47E0">
              <w:rPr>
                <w:rFonts w:ascii="Times New Roman" w:hAnsi="Times New Roman"/>
                <w:i/>
              </w:rPr>
              <w:t>International</w:t>
            </w:r>
            <w:proofErr w:type="spellEnd"/>
            <w:r w:rsidRPr="000A47E0">
              <w:rPr>
                <w:rFonts w:ascii="Times New Roman" w:hAnsi="Times New Roman"/>
                <w:i/>
              </w:rPr>
              <w:t xml:space="preserve"> </w:t>
            </w:r>
            <w:r>
              <w:rPr>
                <w:rFonts w:ascii="Times New Roman" w:hAnsi="Times New Roman"/>
              </w:rPr>
              <w:t>apkopotais</w:t>
            </w:r>
            <w:r w:rsidRPr="000A47E0">
              <w:rPr>
                <w:rFonts w:ascii="Times New Roman" w:hAnsi="Times New Roman"/>
              </w:rPr>
              <w:t xml:space="preserve"> 201</w:t>
            </w:r>
            <w:r>
              <w:rPr>
                <w:rFonts w:ascii="Times New Roman" w:hAnsi="Times New Roman"/>
              </w:rPr>
              <w:t>7</w:t>
            </w:r>
            <w:r w:rsidRPr="000A47E0">
              <w:rPr>
                <w:rFonts w:ascii="Times New Roman" w:hAnsi="Times New Roman"/>
              </w:rPr>
              <w:t>.</w:t>
            </w:r>
            <w:r>
              <w:rPr>
                <w:rFonts w:ascii="Times New Roman" w:hAnsi="Times New Roman"/>
              </w:rPr>
              <w:t xml:space="preserve">gada </w:t>
            </w:r>
            <w:r w:rsidR="003F454D">
              <w:rPr>
                <w:rFonts w:ascii="Times New Roman" w:hAnsi="Times New Roman"/>
              </w:rPr>
              <w:t>k</w:t>
            </w:r>
            <w:r>
              <w:rPr>
                <w:rFonts w:ascii="Times New Roman" w:hAnsi="Times New Roman"/>
              </w:rPr>
              <w:t>orupcijas uztveres indekss.</w:t>
            </w:r>
          </w:p>
        </w:tc>
      </w:tr>
      <w:tr w:rsidR="007B12D3" w:rsidRPr="00C41916" w:rsidTr="00BC29F5">
        <w:trPr>
          <w:trHeight w:val="3004"/>
        </w:trPr>
        <w:tc>
          <w:tcPr>
            <w:tcW w:w="1985" w:type="dxa"/>
            <w:tcBorders>
              <w:bottom w:val="single" w:sz="4" w:space="0" w:color="auto"/>
            </w:tcBorders>
            <w:shd w:val="clear" w:color="auto" w:fill="auto"/>
            <w:vAlign w:val="center"/>
          </w:tcPr>
          <w:p w:rsidR="007B12D3" w:rsidRPr="00C41916" w:rsidRDefault="007B12D3" w:rsidP="006C79D7">
            <w:pPr>
              <w:spacing w:after="0"/>
              <w:jc w:val="center"/>
              <w:rPr>
                <w:rStyle w:val="s35"/>
                <w:rFonts w:ascii="Times New Roman" w:hAnsi="Times New Roman"/>
                <w:sz w:val="20"/>
                <w:szCs w:val="20"/>
              </w:rPr>
            </w:pPr>
            <w:r>
              <w:rPr>
                <w:rFonts w:ascii="Times New Roman" w:hAnsi="Times New Roman"/>
              </w:rPr>
              <w:t>Paaugstināt</w:t>
            </w:r>
            <w:r w:rsidRPr="00C41916">
              <w:rPr>
                <w:rFonts w:ascii="Times New Roman" w:hAnsi="Times New Roman"/>
              </w:rPr>
              <w:t xml:space="preserve"> val</w:t>
            </w:r>
            <w:r>
              <w:rPr>
                <w:rFonts w:ascii="Times New Roman" w:hAnsi="Times New Roman"/>
              </w:rPr>
              <w:t>sts amatpersonu zināšanu līmeni</w:t>
            </w:r>
            <w:r w:rsidRPr="00C41916">
              <w:rPr>
                <w:rFonts w:ascii="Times New Roman" w:hAnsi="Times New Roman"/>
              </w:rPr>
              <w:t xml:space="preserve"> par pretkorupcijas prasībām</w:t>
            </w:r>
          </w:p>
        </w:tc>
        <w:tc>
          <w:tcPr>
            <w:tcW w:w="2268" w:type="dxa"/>
            <w:tcBorders>
              <w:top w:val="single" w:sz="4" w:space="0" w:color="auto"/>
            </w:tcBorders>
            <w:shd w:val="clear" w:color="auto" w:fill="auto"/>
            <w:vAlign w:val="center"/>
          </w:tcPr>
          <w:p w:rsidR="007B12D3" w:rsidRPr="00C41916" w:rsidRDefault="007B12D3" w:rsidP="006C79D7">
            <w:pPr>
              <w:spacing w:before="120" w:after="0"/>
              <w:jc w:val="center"/>
              <w:rPr>
                <w:rFonts w:ascii="Times New Roman" w:hAnsi="Times New Roman"/>
                <w:sz w:val="20"/>
                <w:szCs w:val="20"/>
              </w:rPr>
            </w:pPr>
            <w:r w:rsidRPr="00C41916">
              <w:rPr>
                <w:rFonts w:ascii="Times New Roman" w:hAnsi="Times New Roman"/>
              </w:rPr>
              <w:t>Realizējot zināšanu pārbaudes testus izglītošanas pasākumos, pieaug to valsts amatpersonu skaits, kas labi pārzina pretkorupcijas prasības</w:t>
            </w:r>
          </w:p>
        </w:tc>
        <w:tc>
          <w:tcPr>
            <w:tcW w:w="992" w:type="dxa"/>
            <w:tcBorders>
              <w:top w:val="single" w:sz="4" w:space="0" w:color="auto"/>
            </w:tcBorders>
            <w:shd w:val="clear" w:color="auto" w:fill="auto"/>
            <w:vAlign w:val="center"/>
          </w:tcPr>
          <w:p w:rsidR="007B12D3" w:rsidRPr="00AC323A" w:rsidRDefault="007B12D3" w:rsidP="006C79D7">
            <w:pPr>
              <w:spacing w:after="0"/>
              <w:jc w:val="center"/>
              <w:rPr>
                <w:rFonts w:ascii="Times New Roman" w:hAnsi="Times New Roman" w:cs="Times New Roman"/>
              </w:rPr>
            </w:pPr>
            <w:r w:rsidRPr="00AC323A">
              <w:rPr>
                <w:rFonts w:ascii="Times New Roman" w:hAnsi="Times New Roman" w:cs="Times New Roman"/>
              </w:rPr>
              <w:t>82%</w:t>
            </w:r>
          </w:p>
        </w:tc>
        <w:tc>
          <w:tcPr>
            <w:tcW w:w="993" w:type="dxa"/>
            <w:tcBorders>
              <w:top w:val="single" w:sz="4" w:space="0" w:color="auto"/>
            </w:tcBorders>
            <w:shd w:val="clear" w:color="auto" w:fill="auto"/>
            <w:vAlign w:val="center"/>
          </w:tcPr>
          <w:p w:rsidR="007B12D3" w:rsidRPr="00AC323A" w:rsidRDefault="007B12D3" w:rsidP="006C79D7">
            <w:pPr>
              <w:spacing w:after="0"/>
              <w:jc w:val="center"/>
              <w:rPr>
                <w:rFonts w:ascii="Times New Roman" w:hAnsi="Times New Roman" w:cs="Times New Roman"/>
              </w:rPr>
            </w:pPr>
            <w:r w:rsidRPr="00AC323A">
              <w:rPr>
                <w:rFonts w:ascii="Times New Roman" w:hAnsi="Times New Roman" w:cs="Times New Roman"/>
              </w:rPr>
              <w:t>84%</w:t>
            </w:r>
          </w:p>
        </w:tc>
        <w:tc>
          <w:tcPr>
            <w:tcW w:w="992" w:type="dxa"/>
            <w:tcBorders>
              <w:top w:val="single" w:sz="4" w:space="0" w:color="auto"/>
            </w:tcBorders>
            <w:vAlign w:val="center"/>
          </w:tcPr>
          <w:p w:rsidR="007B12D3" w:rsidRPr="00AC323A" w:rsidRDefault="007B12D3" w:rsidP="006C79D7">
            <w:pPr>
              <w:spacing w:after="0"/>
              <w:jc w:val="center"/>
              <w:rPr>
                <w:rFonts w:ascii="Times New Roman" w:hAnsi="Times New Roman" w:cs="Times New Roman"/>
              </w:rPr>
            </w:pPr>
            <w:r w:rsidRPr="00AC323A">
              <w:rPr>
                <w:rFonts w:ascii="Times New Roman" w:hAnsi="Times New Roman" w:cs="Times New Roman"/>
              </w:rPr>
              <w:t>84%</w:t>
            </w:r>
          </w:p>
        </w:tc>
        <w:tc>
          <w:tcPr>
            <w:tcW w:w="1134" w:type="dxa"/>
            <w:tcBorders>
              <w:top w:val="single" w:sz="4" w:space="0" w:color="auto"/>
            </w:tcBorders>
            <w:shd w:val="clear" w:color="auto" w:fill="auto"/>
            <w:vAlign w:val="center"/>
          </w:tcPr>
          <w:p w:rsidR="007B12D3" w:rsidRPr="00C52763" w:rsidRDefault="007B12D3" w:rsidP="006C79D7">
            <w:pPr>
              <w:spacing w:after="0"/>
              <w:jc w:val="center"/>
              <w:rPr>
                <w:rFonts w:ascii="Times New Roman" w:hAnsi="Times New Roman" w:cs="Times New Roman"/>
                <w:b/>
                <w:color w:val="FF0000"/>
              </w:rPr>
            </w:pPr>
            <w:r w:rsidRPr="000A47E0">
              <w:rPr>
                <w:rFonts w:ascii="Times New Roman" w:hAnsi="Times New Roman" w:cs="Times New Roman"/>
                <w:b/>
              </w:rPr>
              <w:t>88%</w:t>
            </w:r>
          </w:p>
        </w:tc>
        <w:tc>
          <w:tcPr>
            <w:tcW w:w="5670" w:type="dxa"/>
            <w:tcBorders>
              <w:bottom w:val="single" w:sz="4" w:space="0" w:color="auto"/>
            </w:tcBorders>
            <w:shd w:val="clear" w:color="auto" w:fill="auto"/>
            <w:vAlign w:val="center"/>
          </w:tcPr>
          <w:p w:rsidR="007B12D3" w:rsidRPr="00C41916" w:rsidRDefault="007B12D3" w:rsidP="00E666C6">
            <w:pPr>
              <w:spacing w:after="0"/>
              <w:ind w:firstLine="458"/>
              <w:jc w:val="both"/>
              <w:rPr>
                <w:rFonts w:ascii="Times New Roman" w:eastAsia="Times New Roman" w:hAnsi="Times New Roman"/>
                <w:lang w:eastAsia="lv-LV"/>
              </w:rPr>
            </w:pPr>
            <w:r>
              <w:rPr>
                <w:rFonts w:ascii="Times New Roman" w:eastAsia="Times New Roman" w:hAnsi="Times New Roman"/>
                <w:lang w:eastAsia="lv-LV"/>
              </w:rPr>
              <w:t>Mērķis ir sasniegts</w:t>
            </w:r>
            <w:r w:rsidR="00E666C6">
              <w:rPr>
                <w:rFonts w:ascii="Times New Roman" w:eastAsia="Times New Roman" w:hAnsi="Times New Roman"/>
                <w:lang w:eastAsia="lv-LV"/>
              </w:rPr>
              <w:t>.</w:t>
            </w:r>
            <w:r>
              <w:rPr>
                <w:rFonts w:ascii="Times New Roman" w:eastAsia="Times New Roman" w:hAnsi="Times New Roman"/>
                <w:lang w:eastAsia="lv-LV"/>
              </w:rPr>
              <w:t xml:space="preserve"> </w:t>
            </w:r>
            <w:r w:rsidR="00E666C6">
              <w:rPr>
                <w:rFonts w:ascii="Times New Roman" w:eastAsia="Times New Roman" w:hAnsi="Times New Roman"/>
                <w:lang w:eastAsia="lv-LV"/>
              </w:rPr>
              <w:t>I</w:t>
            </w:r>
            <w:r>
              <w:rPr>
                <w:rFonts w:ascii="Times New Roman" w:eastAsia="Times New Roman" w:hAnsi="Times New Roman"/>
                <w:lang w:eastAsia="lv-LV"/>
              </w:rPr>
              <w:t>r izstrādāti kvalitatīvi izglītojošie materiāli un valsts amatpersonu apmācības veic</w:t>
            </w:r>
            <w:r w:rsidRPr="00C41916">
              <w:rPr>
                <w:rFonts w:ascii="Times New Roman" w:eastAsia="Times New Roman" w:hAnsi="Times New Roman"/>
                <w:lang w:eastAsia="lv-LV"/>
              </w:rPr>
              <w:t xml:space="preserve"> </w:t>
            </w:r>
            <w:r>
              <w:rPr>
                <w:rFonts w:ascii="Times New Roman" w:eastAsia="Times New Roman" w:hAnsi="Times New Roman"/>
                <w:lang w:eastAsia="lv-LV"/>
              </w:rPr>
              <w:t>Biroja</w:t>
            </w:r>
            <w:r w:rsidRPr="00C41916">
              <w:rPr>
                <w:rFonts w:ascii="Times New Roman" w:eastAsia="Times New Roman" w:hAnsi="Times New Roman"/>
                <w:lang w:eastAsia="lv-LV"/>
              </w:rPr>
              <w:t xml:space="preserve"> darbiniek</w:t>
            </w:r>
            <w:r>
              <w:rPr>
                <w:rFonts w:ascii="Times New Roman" w:eastAsia="Times New Roman" w:hAnsi="Times New Roman"/>
                <w:lang w:eastAsia="lv-LV"/>
              </w:rPr>
              <w:t xml:space="preserve">i ar </w:t>
            </w:r>
            <w:r w:rsidRPr="00C41916">
              <w:rPr>
                <w:rFonts w:ascii="Times New Roman" w:eastAsia="Times New Roman" w:hAnsi="Times New Roman"/>
                <w:lang w:eastAsia="lv-LV"/>
              </w:rPr>
              <w:t>augst</w:t>
            </w:r>
            <w:r>
              <w:rPr>
                <w:rFonts w:ascii="Times New Roman" w:eastAsia="Times New Roman" w:hAnsi="Times New Roman"/>
                <w:lang w:eastAsia="lv-LV"/>
              </w:rPr>
              <w:t>u</w:t>
            </w:r>
            <w:r w:rsidRPr="00C41916">
              <w:rPr>
                <w:rFonts w:ascii="Times New Roman" w:eastAsia="Times New Roman" w:hAnsi="Times New Roman"/>
                <w:lang w:eastAsia="lv-LV"/>
              </w:rPr>
              <w:t xml:space="preserve"> kompetence</w:t>
            </w:r>
            <w:r>
              <w:rPr>
                <w:rFonts w:ascii="Times New Roman" w:eastAsia="Times New Roman" w:hAnsi="Times New Roman"/>
                <w:lang w:eastAsia="lv-LV"/>
              </w:rPr>
              <w:t>s līmeni</w:t>
            </w:r>
            <w:r w:rsidRPr="00C41916">
              <w:rPr>
                <w:rFonts w:ascii="Times New Roman" w:eastAsia="Times New Roman" w:hAnsi="Times New Roman"/>
                <w:lang w:eastAsia="lv-LV"/>
              </w:rPr>
              <w:t xml:space="preserve"> normatīvo aktu piemērošanas skaidrošanā</w:t>
            </w:r>
            <w:r>
              <w:rPr>
                <w:rFonts w:ascii="Times New Roman" w:eastAsia="Times New Roman" w:hAnsi="Times New Roman"/>
                <w:lang w:eastAsia="lv-LV"/>
              </w:rPr>
              <w:t>.</w:t>
            </w:r>
          </w:p>
        </w:tc>
      </w:tr>
    </w:tbl>
    <w:p w:rsidR="005C7C99" w:rsidRPr="00C41916" w:rsidRDefault="005C7C99" w:rsidP="006C79D7">
      <w:r w:rsidRPr="00C41916">
        <w:br w:type="page"/>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992"/>
        <w:gridCol w:w="993"/>
        <w:gridCol w:w="992"/>
        <w:gridCol w:w="1134"/>
        <w:gridCol w:w="5670"/>
      </w:tblGrid>
      <w:tr w:rsidR="00BC29F5" w:rsidRPr="00C41916" w:rsidTr="003F454D">
        <w:trPr>
          <w:trHeight w:val="690"/>
        </w:trPr>
        <w:tc>
          <w:tcPr>
            <w:tcW w:w="1985" w:type="dxa"/>
            <w:shd w:val="clear" w:color="auto" w:fill="auto"/>
            <w:vAlign w:val="center"/>
          </w:tcPr>
          <w:p w:rsidR="00BC29F5" w:rsidRPr="00C52763" w:rsidRDefault="00BC29F5" w:rsidP="006C79D7">
            <w:pPr>
              <w:spacing w:after="0"/>
              <w:jc w:val="center"/>
              <w:rPr>
                <w:rFonts w:ascii="Times New Roman" w:hAnsi="Times New Roman"/>
              </w:rPr>
            </w:pPr>
            <w:r w:rsidRPr="00C41916">
              <w:rPr>
                <w:rFonts w:ascii="Times New Roman" w:hAnsi="Times New Roman"/>
                <w:b/>
              </w:rPr>
              <w:lastRenderedPageBreak/>
              <w:t>Mērķis</w:t>
            </w:r>
          </w:p>
        </w:tc>
        <w:tc>
          <w:tcPr>
            <w:tcW w:w="2268" w:type="dxa"/>
            <w:tcBorders>
              <w:bottom w:val="single" w:sz="4" w:space="0" w:color="auto"/>
            </w:tcBorders>
            <w:shd w:val="clear" w:color="auto" w:fill="auto"/>
            <w:vAlign w:val="center"/>
          </w:tcPr>
          <w:p w:rsidR="00BC29F5" w:rsidRPr="00C52763" w:rsidRDefault="00BC29F5" w:rsidP="006C79D7">
            <w:pPr>
              <w:spacing w:after="0"/>
              <w:jc w:val="center"/>
              <w:rPr>
                <w:rFonts w:ascii="Times New Roman" w:hAnsi="Times New Roman"/>
              </w:rPr>
            </w:pPr>
            <w:r w:rsidRPr="00C41916">
              <w:rPr>
                <w:rFonts w:ascii="Times New Roman" w:hAnsi="Times New Roman"/>
                <w:b/>
              </w:rPr>
              <w:t>Rezultāts</w:t>
            </w:r>
          </w:p>
        </w:tc>
        <w:tc>
          <w:tcPr>
            <w:tcW w:w="992" w:type="dxa"/>
            <w:tcBorders>
              <w:bottom w:val="single" w:sz="4" w:space="0" w:color="auto"/>
            </w:tcBorders>
            <w:shd w:val="clear" w:color="auto" w:fill="auto"/>
            <w:vAlign w:val="center"/>
          </w:tcPr>
          <w:p w:rsidR="00BC29F5" w:rsidRPr="00C41916" w:rsidRDefault="00BC29F5" w:rsidP="006C79D7">
            <w:pPr>
              <w:spacing w:after="0"/>
              <w:jc w:val="center"/>
              <w:rPr>
                <w:rFonts w:ascii="Times New Roman" w:hAnsi="Times New Roman"/>
              </w:rPr>
            </w:pPr>
            <w:r w:rsidRPr="00C41916">
              <w:rPr>
                <w:rFonts w:ascii="Times New Roman" w:hAnsi="Times New Roman"/>
              </w:rPr>
              <w:t>201</w:t>
            </w:r>
            <w:r>
              <w:rPr>
                <w:rFonts w:ascii="Times New Roman" w:hAnsi="Times New Roman"/>
              </w:rPr>
              <w:t xml:space="preserve">5 </w:t>
            </w:r>
            <w:r w:rsidRPr="00C41916">
              <w:rPr>
                <w:rFonts w:ascii="Times New Roman" w:hAnsi="Times New Roman"/>
              </w:rPr>
              <w:t>izpilde</w:t>
            </w:r>
          </w:p>
        </w:tc>
        <w:tc>
          <w:tcPr>
            <w:tcW w:w="993" w:type="dxa"/>
            <w:tcBorders>
              <w:bottom w:val="single" w:sz="4" w:space="0" w:color="auto"/>
            </w:tcBorders>
            <w:shd w:val="clear" w:color="auto" w:fill="auto"/>
            <w:vAlign w:val="center"/>
          </w:tcPr>
          <w:p w:rsidR="00BC29F5" w:rsidRPr="00C41916" w:rsidRDefault="00BC29F5" w:rsidP="006C79D7">
            <w:pPr>
              <w:spacing w:after="0"/>
              <w:jc w:val="center"/>
              <w:rPr>
                <w:rFonts w:ascii="Times New Roman" w:hAnsi="Times New Roman"/>
              </w:rPr>
            </w:pPr>
            <w:r w:rsidRPr="00C41916">
              <w:rPr>
                <w:rFonts w:ascii="Times New Roman" w:hAnsi="Times New Roman"/>
              </w:rPr>
              <w:t>201</w:t>
            </w:r>
            <w:r>
              <w:rPr>
                <w:rFonts w:ascii="Times New Roman" w:hAnsi="Times New Roman"/>
              </w:rPr>
              <w:t>6</w:t>
            </w:r>
          </w:p>
          <w:p w:rsidR="00BC29F5" w:rsidRPr="00C41916" w:rsidRDefault="00BC29F5" w:rsidP="006C79D7">
            <w:pPr>
              <w:spacing w:after="0"/>
              <w:jc w:val="center"/>
              <w:rPr>
                <w:rFonts w:ascii="Times New Roman" w:hAnsi="Times New Roman"/>
                <w:b/>
              </w:rPr>
            </w:pPr>
            <w:r w:rsidRPr="00C41916">
              <w:rPr>
                <w:rFonts w:ascii="Times New Roman" w:hAnsi="Times New Roman"/>
              </w:rPr>
              <w:t>izpilde</w:t>
            </w:r>
          </w:p>
        </w:tc>
        <w:tc>
          <w:tcPr>
            <w:tcW w:w="992" w:type="dxa"/>
            <w:tcBorders>
              <w:bottom w:val="single" w:sz="4" w:space="0" w:color="auto"/>
            </w:tcBorders>
            <w:vAlign w:val="center"/>
          </w:tcPr>
          <w:p w:rsidR="00BC29F5" w:rsidRPr="007731E8" w:rsidRDefault="00BC29F5" w:rsidP="006C79D7">
            <w:pPr>
              <w:spacing w:after="0"/>
              <w:jc w:val="center"/>
              <w:rPr>
                <w:rFonts w:ascii="Times New Roman" w:hAnsi="Times New Roman"/>
              </w:rPr>
            </w:pPr>
            <w:r w:rsidRPr="007731E8">
              <w:rPr>
                <w:rFonts w:ascii="Times New Roman" w:hAnsi="Times New Roman"/>
              </w:rPr>
              <w:t>201</w:t>
            </w:r>
            <w:r>
              <w:rPr>
                <w:rFonts w:ascii="Times New Roman" w:hAnsi="Times New Roman"/>
              </w:rPr>
              <w:t>7</w:t>
            </w:r>
            <w:r w:rsidRPr="007731E8">
              <w:rPr>
                <w:rFonts w:ascii="Times New Roman" w:hAnsi="Times New Roman"/>
              </w:rPr>
              <w:t xml:space="preserve"> plāns</w:t>
            </w:r>
          </w:p>
        </w:tc>
        <w:tc>
          <w:tcPr>
            <w:tcW w:w="1134" w:type="dxa"/>
            <w:tcBorders>
              <w:bottom w:val="single" w:sz="4" w:space="0" w:color="auto"/>
            </w:tcBorders>
            <w:shd w:val="clear" w:color="auto" w:fill="auto"/>
            <w:vAlign w:val="center"/>
          </w:tcPr>
          <w:p w:rsidR="00BC29F5" w:rsidRPr="00C41916" w:rsidRDefault="00BC29F5" w:rsidP="006C79D7">
            <w:pPr>
              <w:spacing w:after="0"/>
              <w:jc w:val="center"/>
              <w:rPr>
                <w:rFonts w:ascii="Times New Roman" w:hAnsi="Times New Roman"/>
                <w:b/>
              </w:rPr>
            </w:pPr>
            <w:r w:rsidRPr="00C41916">
              <w:rPr>
                <w:rFonts w:ascii="Times New Roman" w:hAnsi="Times New Roman"/>
                <w:b/>
              </w:rPr>
              <w:t>201</w:t>
            </w:r>
            <w:r>
              <w:rPr>
                <w:rFonts w:ascii="Times New Roman" w:hAnsi="Times New Roman"/>
                <w:b/>
              </w:rPr>
              <w:t>7</w:t>
            </w:r>
          </w:p>
          <w:p w:rsidR="00BC29F5" w:rsidRPr="00C41916" w:rsidRDefault="00BC29F5" w:rsidP="006C79D7">
            <w:pPr>
              <w:spacing w:after="0"/>
              <w:jc w:val="center"/>
              <w:rPr>
                <w:rFonts w:ascii="Times New Roman" w:hAnsi="Times New Roman"/>
                <w:b/>
              </w:rPr>
            </w:pPr>
            <w:r w:rsidRPr="00C41916">
              <w:rPr>
                <w:rFonts w:ascii="Times New Roman" w:hAnsi="Times New Roman"/>
                <w:b/>
              </w:rPr>
              <w:t>izpilde</w:t>
            </w:r>
          </w:p>
        </w:tc>
        <w:tc>
          <w:tcPr>
            <w:tcW w:w="5670" w:type="dxa"/>
            <w:tcBorders>
              <w:bottom w:val="single" w:sz="4" w:space="0" w:color="auto"/>
            </w:tcBorders>
            <w:shd w:val="clear" w:color="auto" w:fill="auto"/>
            <w:vAlign w:val="center"/>
          </w:tcPr>
          <w:p w:rsidR="00BC29F5" w:rsidRPr="00BC29F5" w:rsidRDefault="00BC29F5" w:rsidP="006C79D7">
            <w:pPr>
              <w:spacing w:after="0"/>
              <w:ind w:left="32" w:firstLine="1"/>
              <w:jc w:val="center"/>
              <w:rPr>
                <w:rFonts w:ascii="Times New Roman" w:hAnsi="Times New Roman" w:cs="Times New Roman"/>
              </w:rPr>
            </w:pPr>
            <w:r>
              <w:rPr>
                <w:rFonts w:ascii="Times New Roman" w:hAnsi="Times New Roman" w:cs="Times New Roman"/>
                <w:b/>
              </w:rPr>
              <w:t>K</w:t>
            </w:r>
            <w:r w:rsidRPr="00BC29F5">
              <w:rPr>
                <w:rFonts w:ascii="Times New Roman" w:hAnsi="Times New Roman" w:cs="Times New Roman"/>
                <w:b/>
              </w:rPr>
              <w:t>omentārs</w:t>
            </w:r>
          </w:p>
        </w:tc>
      </w:tr>
      <w:tr w:rsidR="007B12D3" w:rsidRPr="00C41916" w:rsidTr="00BC29F5">
        <w:trPr>
          <w:trHeight w:val="650"/>
        </w:trPr>
        <w:tc>
          <w:tcPr>
            <w:tcW w:w="1985" w:type="dxa"/>
            <w:vMerge w:val="restart"/>
            <w:shd w:val="clear" w:color="auto" w:fill="auto"/>
            <w:vAlign w:val="center"/>
          </w:tcPr>
          <w:p w:rsidR="007B12D3" w:rsidRPr="00D97C47" w:rsidRDefault="007B12D3" w:rsidP="006C79D7">
            <w:pPr>
              <w:spacing w:after="0"/>
              <w:ind w:left="34" w:hanging="34"/>
              <w:jc w:val="center"/>
              <w:rPr>
                <w:rFonts w:ascii="Times New Roman" w:eastAsia="Calibri" w:hAnsi="Times New Roman" w:cs="Times New Roman"/>
              </w:rPr>
            </w:pPr>
            <w:r>
              <w:rPr>
                <w:rFonts w:ascii="Times New Roman" w:eastAsia="Calibri" w:hAnsi="Times New Roman" w:cs="Times New Roman"/>
              </w:rPr>
              <w:t>Atklāt un izmeklēt n</w:t>
            </w:r>
            <w:r w:rsidRPr="00D97C47">
              <w:rPr>
                <w:rFonts w:ascii="Times New Roman" w:eastAsia="Calibri" w:hAnsi="Times New Roman" w:cs="Times New Roman"/>
              </w:rPr>
              <w:t>oziedzīgu</w:t>
            </w:r>
            <w:r>
              <w:rPr>
                <w:rFonts w:ascii="Times New Roman" w:eastAsia="Calibri" w:hAnsi="Times New Roman" w:cs="Times New Roman"/>
              </w:rPr>
              <w:t>s</w:t>
            </w:r>
            <w:r w:rsidRPr="00D97C47">
              <w:rPr>
                <w:rFonts w:ascii="Times New Roman" w:eastAsia="Calibri" w:hAnsi="Times New Roman" w:cs="Times New Roman"/>
              </w:rPr>
              <w:t xml:space="preserve"> nodarījumu</w:t>
            </w:r>
            <w:r>
              <w:rPr>
                <w:rFonts w:ascii="Times New Roman" w:eastAsia="Calibri" w:hAnsi="Times New Roman" w:cs="Times New Roman"/>
              </w:rPr>
              <w:t>s</w:t>
            </w:r>
          </w:p>
          <w:p w:rsidR="007B12D3" w:rsidRPr="00D97C47" w:rsidRDefault="007B12D3" w:rsidP="006C79D7">
            <w:pPr>
              <w:spacing w:after="0"/>
              <w:ind w:left="-108" w:right="-112"/>
              <w:jc w:val="center"/>
              <w:rPr>
                <w:rFonts w:ascii="Times New Roman" w:eastAsia="Calibri" w:hAnsi="Times New Roman" w:cs="Times New Roman"/>
              </w:rPr>
            </w:pPr>
          </w:p>
        </w:tc>
        <w:tc>
          <w:tcPr>
            <w:tcW w:w="2268" w:type="dxa"/>
            <w:tcBorders>
              <w:bottom w:val="single" w:sz="4" w:space="0" w:color="auto"/>
            </w:tcBorders>
            <w:shd w:val="clear" w:color="auto" w:fill="auto"/>
            <w:vAlign w:val="center"/>
          </w:tcPr>
          <w:p w:rsidR="007B12D3" w:rsidRPr="00D97C47" w:rsidRDefault="007B12D3" w:rsidP="006C79D7">
            <w:pPr>
              <w:spacing w:after="0"/>
              <w:jc w:val="center"/>
              <w:rPr>
                <w:rFonts w:ascii="Times New Roman" w:eastAsia="Calibri" w:hAnsi="Times New Roman" w:cs="Times New Roman"/>
              </w:rPr>
            </w:pPr>
            <w:r w:rsidRPr="00D97C47">
              <w:rPr>
                <w:rFonts w:ascii="Times New Roman" w:hAnsi="Times New Roman" w:cs="Times New Roman"/>
              </w:rPr>
              <w:t>Konstatēti noziedzīgie nodarījumi</w:t>
            </w:r>
          </w:p>
        </w:tc>
        <w:tc>
          <w:tcPr>
            <w:tcW w:w="992" w:type="dxa"/>
            <w:tcBorders>
              <w:bottom w:val="single" w:sz="4" w:space="0" w:color="auto"/>
            </w:tcBorders>
            <w:shd w:val="clear" w:color="auto" w:fill="auto"/>
            <w:vAlign w:val="center"/>
          </w:tcPr>
          <w:p w:rsidR="007B12D3" w:rsidRPr="00D97C47" w:rsidRDefault="007B12D3" w:rsidP="006C79D7">
            <w:pPr>
              <w:spacing w:after="0"/>
              <w:ind w:left="-104" w:right="-112"/>
              <w:jc w:val="center"/>
              <w:rPr>
                <w:rFonts w:ascii="Times New Roman" w:eastAsia="Calibri" w:hAnsi="Times New Roman" w:cs="Times New Roman"/>
              </w:rPr>
            </w:pPr>
            <w:r w:rsidRPr="00D97C47">
              <w:rPr>
                <w:rFonts w:ascii="Times New Roman" w:eastAsia="Calibri" w:hAnsi="Times New Roman" w:cs="Times New Roman"/>
              </w:rPr>
              <w:t>56</w:t>
            </w:r>
          </w:p>
        </w:tc>
        <w:tc>
          <w:tcPr>
            <w:tcW w:w="993" w:type="dxa"/>
            <w:tcBorders>
              <w:bottom w:val="single" w:sz="4" w:space="0" w:color="auto"/>
            </w:tcBorders>
            <w:shd w:val="clear" w:color="auto" w:fill="auto"/>
            <w:vAlign w:val="center"/>
          </w:tcPr>
          <w:p w:rsidR="007B12D3" w:rsidRPr="00D97C47" w:rsidRDefault="007B12D3" w:rsidP="006C79D7">
            <w:pPr>
              <w:spacing w:after="0"/>
              <w:ind w:left="-104" w:right="-112"/>
              <w:jc w:val="center"/>
              <w:rPr>
                <w:rFonts w:ascii="Times New Roman" w:eastAsia="Calibri" w:hAnsi="Times New Roman" w:cs="Times New Roman"/>
              </w:rPr>
            </w:pPr>
            <w:r w:rsidRPr="00D97C47">
              <w:rPr>
                <w:rFonts w:ascii="Times New Roman" w:eastAsia="Calibri" w:hAnsi="Times New Roman" w:cs="Times New Roman"/>
              </w:rPr>
              <w:t>60</w:t>
            </w:r>
          </w:p>
        </w:tc>
        <w:tc>
          <w:tcPr>
            <w:tcW w:w="992" w:type="dxa"/>
            <w:tcBorders>
              <w:bottom w:val="single" w:sz="4" w:space="0" w:color="auto"/>
            </w:tcBorders>
            <w:vAlign w:val="center"/>
          </w:tcPr>
          <w:p w:rsidR="007B12D3" w:rsidRPr="00D97C47" w:rsidRDefault="007B12D3" w:rsidP="006C79D7">
            <w:pPr>
              <w:spacing w:after="0"/>
              <w:ind w:left="-104" w:right="-112"/>
              <w:jc w:val="center"/>
              <w:rPr>
                <w:rFonts w:ascii="Times New Roman" w:eastAsia="Calibri" w:hAnsi="Times New Roman" w:cs="Times New Roman"/>
              </w:rPr>
            </w:pPr>
            <w:r w:rsidRPr="00D97C47">
              <w:rPr>
                <w:rFonts w:ascii="Times New Roman" w:eastAsia="Calibri" w:hAnsi="Times New Roman" w:cs="Times New Roman"/>
              </w:rPr>
              <w:t>63</w:t>
            </w:r>
          </w:p>
        </w:tc>
        <w:tc>
          <w:tcPr>
            <w:tcW w:w="1134" w:type="dxa"/>
            <w:tcBorders>
              <w:bottom w:val="single" w:sz="4" w:space="0" w:color="auto"/>
            </w:tcBorders>
            <w:shd w:val="clear" w:color="auto" w:fill="auto"/>
            <w:vAlign w:val="center"/>
          </w:tcPr>
          <w:p w:rsidR="007B12D3" w:rsidRPr="00D97C47" w:rsidRDefault="007B12D3" w:rsidP="006C79D7">
            <w:pPr>
              <w:pStyle w:val="naislab"/>
              <w:spacing w:before="0" w:beforeAutospacing="0" w:after="0" w:afterAutospacing="0" w:line="276" w:lineRule="auto"/>
              <w:ind w:left="-104" w:right="-112"/>
              <w:jc w:val="center"/>
              <w:rPr>
                <w:b/>
                <w:sz w:val="22"/>
                <w:szCs w:val="22"/>
              </w:rPr>
            </w:pPr>
            <w:r w:rsidRPr="00D97C47">
              <w:rPr>
                <w:b/>
                <w:sz w:val="22"/>
                <w:szCs w:val="22"/>
              </w:rPr>
              <w:t>65</w:t>
            </w:r>
          </w:p>
        </w:tc>
        <w:tc>
          <w:tcPr>
            <w:tcW w:w="5670" w:type="dxa"/>
            <w:tcBorders>
              <w:bottom w:val="single" w:sz="4" w:space="0" w:color="auto"/>
            </w:tcBorders>
            <w:shd w:val="clear" w:color="auto" w:fill="auto"/>
            <w:vAlign w:val="center"/>
          </w:tcPr>
          <w:p w:rsidR="007B12D3" w:rsidRPr="00D97C47" w:rsidRDefault="007B12D3" w:rsidP="006C79D7">
            <w:pPr>
              <w:pStyle w:val="ListParagraph"/>
              <w:spacing w:after="0"/>
              <w:ind w:left="34" w:firstLine="425"/>
              <w:jc w:val="both"/>
              <w:rPr>
                <w:rFonts w:ascii="Times New Roman" w:hAnsi="Times New Roman" w:cs="Times New Roman"/>
              </w:rPr>
            </w:pPr>
            <w:r w:rsidRPr="00CD7D87">
              <w:rPr>
                <w:rFonts w:ascii="Times New Roman" w:hAnsi="Times New Roman" w:cs="Times New Roman"/>
              </w:rPr>
              <w:t xml:space="preserve">Mērķa sasniegšanu nodrošināja </w:t>
            </w:r>
            <w:r>
              <w:rPr>
                <w:rFonts w:ascii="Times New Roman" w:hAnsi="Times New Roman" w:cs="Times New Roman"/>
              </w:rPr>
              <w:t>Izmeklēšanas nodaļas un Operatīvo izstrāžu nodaļas</w:t>
            </w:r>
            <w:r w:rsidRPr="00CD7D87">
              <w:rPr>
                <w:rFonts w:ascii="Times New Roman" w:hAnsi="Times New Roman" w:cs="Times New Roman"/>
              </w:rPr>
              <w:t xml:space="preserve"> darbinieku profesionalitāte un uzkrātā profesionālā pieredze</w:t>
            </w:r>
            <w:r>
              <w:rPr>
                <w:rFonts w:ascii="Times New Roman" w:hAnsi="Times New Roman" w:cs="Times New Roman"/>
              </w:rPr>
              <w:t>.</w:t>
            </w:r>
          </w:p>
        </w:tc>
      </w:tr>
      <w:tr w:rsidR="007B12D3" w:rsidRPr="00C41916" w:rsidTr="00BC29F5">
        <w:trPr>
          <w:trHeight w:val="573"/>
        </w:trPr>
        <w:tc>
          <w:tcPr>
            <w:tcW w:w="1985" w:type="dxa"/>
            <w:vMerge/>
            <w:shd w:val="clear" w:color="auto" w:fill="auto"/>
            <w:vAlign w:val="center"/>
          </w:tcPr>
          <w:p w:rsidR="007B12D3" w:rsidRPr="00D97C47" w:rsidRDefault="007B12D3" w:rsidP="006C79D7">
            <w:pPr>
              <w:spacing w:after="0"/>
              <w:jc w:val="center"/>
              <w:rPr>
                <w:rFonts w:ascii="Times New Roman" w:hAnsi="Times New Roman" w:cs="Times New Roman"/>
              </w:rPr>
            </w:pPr>
          </w:p>
        </w:tc>
        <w:tc>
          <w:tcPr>
            <w:tcW w:w="2268" w:type="dxa"/>
            <w:tcBorders>
              <w:bottom w:val="single" w:sz="4" w:space="0" w:color="auto"/>
            </w:tcBorders>
            <w:shd w:val="clear" w:color="auto" w:fill="auto"/>
            <w:vAlign w:val="center"/>
          </w:tcPr>
          <w:p w:rsidR="007B12D3" w:rsidRPr="00D97C47" w:rsidRDefault="007B12D3" w:rsidP="006C79D7">
            <w:pPr>
              <w:spacing w:after="0"/>
              <w:jc w:val="center"/>
              <w:rPr>
                <w:rFonts w:ascii="Times New Roman" w:hAnsi="Times New Roman" w:cs="Times New Roman"/>
              </w:rPr>
            </w:pPr>
            <w:r w:rsidRPr="00D97C47">
              <w:rPr>
                <w:rFonts w:ascii="Times New Roman" w:hAnsi="Times New Roman" w:cs="Times New Roman"/>
              </w:rPr>
              <w:t>Biroja uzsākto krimināllietu īpatsvars, kas nosūtītas kriminālvajāšanai un nav izbeigtas prokuratūrā (%)</w:t>
            </w:r>
          </w:p>
        </w:tc>
        <w:tc>
          <w:tcPr>
            <w:tcW w:w="992" w:type="dxa"/>
            <w:tcBorders>
              <w:bottom w:val="single" w:sz="4" w:space="0" w:color="auto"/>
            </w:tcBorders>
            <w:shd w:val="clear" w:color="auto" w:fill="auto"/>
            <w:vAlign w:val="center"/>
          </w:tcPr>
          <w:p w:rsidR="007B12D3" w:rsidRPr="00D97C47" w:rsidRDefault="007B12D3" w:rsidP="006C79D7">
            <w:pPr>
              <w:autoSpaceDE w:val="0"/>
              <w:autoSpaceDN w:val="0"/>
              <w:adjustRightInd w:val="0"/>
              <w:spacing w:after="0"/>
              <w:ind w:left="-104" w:right="-112"/>
              <w:jc w:val="center"/>
              <w:rPr>
                <w:rFonts w:ascii="Times New Roman" w:hAnsi="Times New Roman" w:cs="Times New Roman"/>
              </w:rPr>
            </w:pPr>
            <w:r w:rsidRPr="00D97C47">
              <w:rPr>
                <w:rFonts w:ascii="Times New Roman" w:eastAsia="Calibri" w:hAnsi="Times New Roman" w:cs="Times New Roman"/>
              </w:rPr>
              <w:t>87,5</w:t>
            </w:r>
          </w:p>
        </w:tc>
        <w:tc>
          <w:tcPr>
            <w:tcW w:w="993" w:type="dxa"/>
            <w:tcBorders>
              <w:bottom w:val="single" w:sz="4" w:space="0" w:color="auto"/>
            </w:tcBorders>
            <w:shd w:val="clear" w:color="auto" w:fill="auto"/>
            <w:vAlign w:val="center"/>
          </w:tcPr>
          <w:p w:rsidR="007B12D3" w:rsidRPr="00D97C47" w:rsidRDefault="007B12D3" w:rsidP="006C79D7">
            <w:pPr>
              <w:pStyle w:val="naislab"/>
              <w:spacing w:before="0" w:after="0" w:afterAutospacing="0" w:line="276" w:lineRule="auto"/>
              <w:ind w:left="-104" w:right="-112"/>
              <w:jc w:val="center"/>
              <w:rPr>
                <w:sz w:val="22"/>
                <w:szCs w:val="22"/>
              </w:rPr>
            </w:pPr>
            <w:r w:rsidRPr="00D97C47">
              <w:rPr>
                <w:rFonts w:eastAsia="Calibri"/>
                <w:sz w:val="22"/>
              </w:rPr>
              <w:t>92,9</w:t>
            </w:r>
          </w:p>
        </w:tc>
        <w:tc>
          <w:tcPr>
            <w:tcW w:w="992" w:type="dxa"/>
            <w:tcBorders>
              <w:bottom w:val="single" w:sz="4" w:space="0" w:color="auto"/>
            </w:tcBorders>
            <w:vAlign w:val="center"/>
          </w:tcPr>
          <w:p w:rsidR="007B12D3" w:rsidRPr="00D97C47" w:rsidRDefault="007B12D3" w:rsidP="006C79D7">
            <w:pPr>
              <w:pStyle w:val="naislab"/>
              <w:spacing w:before="0" w:after="0" w:afterAutospacing="0" w:line="276" w:lineRule="auto"/>
              <w:ind w:left="-104" w:right="-112"/>
              <w:jc w:val="center"/>
              <w:rPr>
                <w:b/>
                <w:sz w:val="22"/>
                <w:szCs w:val="22"/>
              </w:rPr>
            </w:pPr>
            <w:r w:rsidRPr="00D97C47">
              <w:rPr>
                <w:rFonts w:eastAsia="Calibri"/>
                <w:sz w:val="22"/>
              </w:rPr>
              <w:t>95</w:t>
            </w:r>
          </w:p>
        </w:tc>
        <w:tc>
          <w:tcPr>
            <w:tcW w:w="1134" w:type="dxa"/>
            <w:tcBorders>
              <w:bottom w:val="single" w:sz="4" w:space="0" w:color="auto"/>
            </w:tcBorders>
            <w:shd w:val="clear" w:color="auto" w:fill="auto"/>
            <w:vAlign w:val="center"/>
          </w:tcPr>
          <w:p w:rsidR="007B12D3" w:rsidRPr="006A27C6" w:rsidRDefault="007B12D3" w:rsidP="006C79D7">
            <w:pPr>
              <w:pStyle w:val="naislab"/>
              <w:spacing w:before="0" w:after="0" w:afterAutospacing="0" w:line="276" w:lineRule="auto"/>
              <w:ind w:left="-104" w:right="-112"/>
              <w:jc w:val="center"/>
              <w:rPr>
                <w:b/>
                <w:sz w:val="22"/>
                <w:szCs w:val="22"/>
              </w:rPr>
            </w:pPr>
            <w:r>
              <w:rPr>
                <w:b/>
                <w:sz w:val="22"/>
                <w:szCs w:val="22"/>
              </w:rPr>
              <w:t>88,2</w:t>
            </w:r>
          </w:p>
        </w:tc>
        <w:tc>
          <w:tcPr>
            <w:tcW w:w="5670" w:type="dxa"/>
            <w:shd w:val="clear" w:color="auto" w:fill="auto"/>
            <w:vAlign w:val="center"/>
          </w:tcPr>
          <w:p w:rsidR="007B12D3" w:rsidRPr="00D97C47" w:rsidRDefault="003C1E62" w:rsidP="003C1E62">
            <w:pPr>
              <w:spacing w:after="0"/>
              <w:ind w:left="34" w:firstLine="425"/>
              <w:jc w:val="both"/>
              <w:rPr>
                <w:rFonts w:ascii="Times New Roman" w:hAnsi="Times New Roman" w:cs="Times New Roman"/>
              </w:rPr>
            </w:pPr>
            <w:r>
              <w:rPr>
                <w:rFonts w:ascii="Times New Roman" w:hAnsi="Times New Roman" w:cs="Times New Roman"/>
              </w:rPr>
              <w:t>Pārskata periodā prokuratūrā ir izbeigtas 2 krimināllietas, ko Birojs ir nosūtījis kriminālvajāšanas uzsākšanai.</w:t>
            </w:r>
          </w:p>
        </w:tc>
      </w:tr>
      <w:tr w:rsidR="007B12D3" w:rsidRPr="00C41916" w:rsidTr="00BC29F5">
        <w:trPr>
          <w:trHeight w:val="689"/>
        </w:trPr>
        <w:tc>
          <w:tcPr>
            <w:tcW w:w="1985" w:type="dxa"/>
            <w:vMerge/>
            <w:shd w:val="clear" w:color="auto" w:fill="auto"/>
            <w:vAlign w:val="center"/>
          </w:tcPr>
          <w:p w:rsidR="007B12D3" w:rsidRPr="00D97C47" w:rsidRDefault="007B12D3" w:rsidP="006C79D7">
            <w:pPr>
              <w:spacing w:after="0"/>
              <w:jc w:val="center"/>
              <w:rPr>
                <w:rStyle w:val="s35"/>
                <w:rFonts w:ascii="Times New Roman" w:hAnsi="Times New Roman" w:cs="Times New Roman"/>
              </w:rPr>
            </w:pPr>
          </w:p>
        </w:tc>
        <w:tc>
          <w:tcPr>
            <w:tcW w:w="2268" w:type="dxa"/>
            <w:shd w:val="clear" w:color="auto" w:fill="auto"/>
            <w:vAlign w:val="center"/>
          </w:tcPr>
          <w:p w:rsidR="007B12D3" w:rsidRPr="00D97C47" w:rsidRDefault="007B12D3" w:rsidP="006C79D7">
            <w:pPr>
              <w:spacing w:after="0"/>
              <w:jc w:val="center"/>
              <w:rPr>
                <w:rFonts w:ascii="Times New Roman" w:hAnsi="Times New Roman" w:cs="Times New Roman"/>
              </w:rPr>
            </w:pPr>
            <w:r w:rsidRPr="00D97C47">
              <w:rPr>
                <w:rFonts w:ascii="Times New Roman" w:hAnsi="Times New Roman" w:cs="Times New Roman"/>
              </w:rPr>
              <w:t>Birojā uzsākto kriminālprocesu</w:t>
            </w:r>
          </w:p>
          <w:p w:rsidR="007B12D3" w:rsidRPr="00D97C47" w:rsidRDefault="007B12D3" w:rsidP="006C79D7">
            <w:pPr>
              <w:spacing w:after="0"/>
              <w:jc w:val="center"/>
              <w:rPr>
                <w:rFonts w:ascii="Times New Roman" w:hAnsi="Times New Roman" w:cs="Times New Roman"/>
              </w:rPr>
            </w:pPr>
            <w:r w:rsidRPr="00D97C47">
              <w:rPr>
                <w:rFonts w:ascii="Times New Roman" w:hAnsi="Times New Roman" w:cs="Times New Roman"/>
              </w:rPr>
              <w:t>skaits pēc OIN sniegtās informācijas</w:t>
            </w:r>
          </w:p>
        </w:tc>
        <w:tc>
          <w:tcPr>
            <w:tcW w:w="992" w:type="dxa"/>
            <w:shd w:val="clear" w:color="auto" w:fill="auto"/>
            <w:vAlign w:val="center"/>
          </w:tcPr>
          <w:p w:rsidR="007B12D3" w:rsidRPr="00D97C47" w:rsidRDefault="007B12D3" w:rsidP="006C79D7">
            <w:pPr>
              <w:pStyle w:val="naislab"/>
              <w:spacing w:before="0" w:after="0" w:afterAutospacing="0" w:line="276" w:lineRule="auto"/>
              <w:ind w:left="-104" w:right="-112"/>
              <w:jc w:val="center"/>
              <w:rPr>
                <w:sz w:val="22"/>
                <w:szCs w:val="22"/>
              </w:rPr>
            </w:pPr>
            <w:r w:rsidRPr="00D97C47">
              <w:rPr>
                <w:rFonts w:eastAsia="Calibri"/>
                <w:sz w:val="22"/>
              </w:rPr>
              <w:t>7</w:t>
            </w:r>
          </w:p>
        </w:tc>
        <w:tc>
          <w:tcPr>
            <w:tcW w:w="993" w:type="dxa"/>
            <w:shd w:val="clear" w:color="auto" w:fill="auto"/>
            <w:vAlign w:val="center"/>
          </w:tcPr>
          <w:p w:rsidR="007B12D3" w:rsidRPr="00D97C47" w:rsidRDefault="007B12D3" w:rsidP="006C79D7">
            <w:pPr>
              <w:pStyle w:val="naislab"/>
              <w:spacing w:before="0" w:after="0" w:afterAutospacing="0" w:line="276" w:lineRule="auto"/>
              <w:ind w:left="-104" w:right="-112"/>
              <w:jc w:val="center"/>
              <w:rPr>
                <w:sz w:val="22"/>
                <w:szCs w:val="22"/>
              </w:rPr>
            </w:pPr>
            <w:r w:rsidRPr="00D97C47">
              <w:rPr>
                <w:rFonts w:eastAsia="Calibri"/>
                <w:sz w:val="22"/>
              </w:rPr>
              <w:t>6</w:t>
            </w:r>
          </w:p>
        </w:tc>
        <w:tc>
          <w:tcPr>
            <w:tcW w:w="992" w:type="dxa"/>
            <w:vAlign w:val="center"/>
          </w:tcPr>
          <w:p w:rsidR="007B12D3" w:rsidRPr="00D97C47" w:rsidRDefault="007B12D3" w:rsidP="006C79D7">
            <w:pPr>
              <w:pStyle w:val="naislab"/>
              <w:spacing w:before="0" w:after="0" w:afterAutospacing="0" w:line="276" w:lineRule="auto"/>
              <w:ind w:left="-104" w:right="-112"/>
              <w:jc w:val="center"/>
              <w:rPr>
                <w:sz w:val="22"/>
                <w:szCs w:val="22"/>
              </w:rPr>
            </w:pPr>
            <w:r w:rsidRPr="00D97C47">
              <w:rPr>
                <w:rFonts w:eastAsia="Calibri"/>
                <w:sz w:val="22"/>
              </w:rPr>
              <w:t>12</w:t>
            </w:r>
          </w:p>
        </w:tc>
        <w:tc>
          <w:tcPr>
            <w:tcW w:w="1134" w:type="dxa"/>
            <w:shd w:val="clear" w:color="auto" w:fill="auto"/>
            <w:vAlign w:val="center"/>
          </w:tcPr>
          <w:p w:rsidR="007B12D3" w:rsidRPr="00D97C47" w:rsidRDefault="007B12D3" w:rsidP="006C79D7">
            <w:pPr>
              <w:pStyle w:val="naislab"/>
              <w:spacing w:before="0" w:after="0" w:afterAutospacing="0" w:line="276" w:lineRule="auto"/>
              <w:ind w:left="-104" w:right="-108"/>
              <w:jc w:val="center"/>
              <w:rPr>
                <w:b/>
                <w:sz w:val="22"/>
                <w:szCs w:val="22"/>
              </w:rPr>
            </w:pPr>
            <w:r>
              <w:rPr>
                <w:b/>
                <w:sz w:val="22"/>
                <w:szCs w:val="22"/>
              </w:rPr>
              <w:t>11</w:t>
            </w:r>
          </w:p>
        </w:tc>
        <w:tc>
          <w:tcPr>
            <w:tcW w:w="5670" w:type="dxa"/>
            <w:shd w:val="clear" w:color="auto" w:fill="auto"/>
            <w:vAlign w:val="center"/>
          </w:tcPr>
          <w:p w:rsidR="007B12D3" w:rsidRPr="00D97C47" w:rsidRDefault="007B12D3" w:rsidP="00E666C6">
            <w:pPr>
              <w:pStyle w:val="ListParagraph"/>
              <w:spacing w:after="0"/>
              <w:ind w:left="34" w:firstLine="425"/>
              <w:jc w:val="both"/>
              <w:rPr>
                <w:rFonts w:ascii="Times New Roman" w:hAnsi="Times New Roman" w:cs="Times New Roman"/>
              </w:rPr>
            </w:pPr>
            <w:r>
              <w:rPr>
                <w:rFonts w:ascii="Times New Roman" w:hAnsi="Times New Roman" w:cs="Times New Roman"/>
              </w:rPr>
              <w:t>Operatīvo izstrāžu nodaļa sniedz lielu ieguldījumu kriminālprocesu vispusīgā un ātrā izmeklēšanā</w:t>
            </w:r>
            <w:r w:rsidR="00E666C6">
              <w:rPr>
                <w:rFonts w:ascii="Times New Roman" w:hAnsi="Times New Roman" w:cs="Times New Roman"/>
              </w:rPr>
              <w:t>,</w:t>
            </w:r>
            <w:r>
              <w:rPr>
                <w:rFonts w:ascii="Times New Roman" w:hAnsi="Times New Roman" w:cs="Times New Roman"/>
              </w:rPr>
              <w:t xml:space="preserve"> strādājot kriminālprocesu izmeklēšanas grupās un pildot procesuālos uzdevumus uzsāktajos kriminālprocesos, tajā skaitā nodrošinot speciālās izmeklēšanas darbības.</w:t>
            </w:r>
          </w:p>
        </w:tc>
      </w:tr>
      <w:tr w:rsidR="007B12D3" w:rsidRPr="00C41916" w:rsidTr="00BC29F5">
        <w:trPr>
          <w:trHeight w:val="689"/>
        </w:trPr>
        <w:tc>
          <w:tcPr>
            <w:tcW w:w="1985" w:type="dxa"/>
            <w:shd w:val="clear" w:color="auto" w:fill="auto"/>
            <w:vAlign w:val="center"/>
          </w:tcPr>
          <w:p w:rsidR="007B12D3" w:rsidRPr="00091ABA" w:rsidRDefault="007B12D3" w:rsidP="006C79D7">
            <w:pPr>
              <w:spacing w:after="0"/>
              <w:jc w:val="center"/>
              <w:rPr>
                <w:rFonts w:ascii="Times New Roman" w:eastAsia="Calibri" w:hAnsi="Times New Roman" w:cs="Times New Roman"/>
              </w:rPr>
            </w:pPr>
            <w:r>
              <w:rPr>
                <w:rFonts w:ascii="Times New Roman" w:eastAsia="Calibri" w:hAnsi="Times New Roman" w:cs="Times New Roman"/>
              </w:rPr>
              <w:t>Pieņemt</w:t>
            </w:r>
            <w:r w:rsidRPr="00091ABA">
              <w:rPr>
                <w:rFonts w:ascii="Times New Roman" w:eastAsia="Calibri" w:hAnsi="Times New Roman" w:cs="Times New Roman"/>
              </w:rPr>
              <w:t xml:space="preserve"> </w:t>
            </w:r>
            <w:r>
              <w:rPr>
                <w:rFonts w:ascii="Times New Roman" w:eastAsia="Calibri" w:hAnsi="Times New Roman" w:cs="Times New Roman"/>
              </w:rPr>
              <w:t>likumīgus un pamatotus lēmumus politisko partiju finansēšanas kontroles jomā</w:t>
            </w:r>
          </w:p>
        </w:tc>
        <w:tc>
          <w:tcPr>
            <w:tcW w:w="2268" w:type="dxa"/>
            <w:shd w:val="clear" w:color="auto" w:fill="auto"/>
            <w:vAlign w:val="center"/>
          </w:tcPr>
          <w:p w:rsidR="007B12D3" w:rsidRPr="00091ABA" w:rsidRDefault="007B12D3" w:rsidP="006C79D7">
            <w:pPr>
              <w:spacing w:after="0"/>
              <w:jc w:val="center"/>
              <w:rPr>
                <w:rFonts w:ascii="Times New Roman" w:eastAsia="Calibri" w:hAnsi="Times New Roman" w:cs="Times New Roman"/>
              </w:rPr>
            </w:pPr>
            <w:r w:rsidRPr="00091ABA">
              <w:rPr>
                <w:rFonts w:ascii="Times New Roman" w:eastAsia="Calibri" w:hAnsi="Times New Roman" w:cs="Times New Roman"/>
              </w:rPr>
              <w:t xml:space="preserve">Pārskata gadā spēkā atstāto Biroja </w:t>
            </w:r>
            <w:r w:rsidRPr="00091ABA">
              <w:rPr>
                <w:rFonts w:ascii="Times New Roman" w:hAnsi="Times New Roman" w:cs="Times New Roman"/>
              </w:rPr>
              <w:t xml:space="preserve">lēmumu īpatsvars saistībā ar administratīvajiem pārkāpumiem un pretlikumīgu finanšu līdzekļu atmaksu, </w:t>
            </w:r>
            <w:r w:rsidRPr="00091ABA">
              <w:rPr>
                <w:rFonts w:ascii="Times New Roman" w:eastAsia="Calibri" w:hAnsi="Times New Roman" w:cs="Times New Roman"/>
              </w:rPr>
              <w:t>kas nav atcelti</w:t>
            </w:r>
          </w:p>
        </w:tc>
        <w:tc>
          <w:tcPr>
            <w:tcW w:w="992" w:type="dxa"/>
            <w:shd w:val="clear" w:color="auto" w:fill="auto"/>
            <w:vAlign w:val="center"/>
          </w:tcPr>
          <w:p w:rsidR="007B12D3" w:rsidRPr="00091ABA" w:rsidRDefault="007B12D3" w:rsidP="006C79D7">
            <w:pPr>
              <w:spacing w:after="0"/>
              <w:jc w:val="center"/>
              <w:rPr>
                <w:rFonts w:ascii="Times New Roman" w:eastAsia="Calibri" w:hAnsi="Times New Roman" w:cs="Times New Roman"/>
              </w:rPr>
            </w:pPr>
            <w:r w:rsidRPr="00091ABA">
              <w:rPr>
                <w:rFonts w:ascii="Times New Roman" w:eastAsia="Times New Roman" w:hAnsi="Times New Roman" w:cs="Times New Roman"/>
                <w:lang w:eastAsia="lv-LV"/>
              </w:rPr>
              <w:t>99,97%</w:t>
            </w:r>
          </w:p>
        </w:tc>
        <w:tc>
          <w:tcPr>
            <w:tcW w:w="993" w:type="dxa"/>
            <w:shd w:val="clear" w:color="auto" w:fill="auto"/>
            <w:vAlign w:val="center"/>
          </w:tcPr>
          <w:p w:rsidR="007B12D3" w:rsidRPr="00091ABA" w:rsidRDefault="007B12D3" w:rsidP="006C79D7">
            <w:pPr>
              <w:spacing w:after="0"/>
              <w:jc w:val="center"/>
              <w:rPr>
                <w:rFonts w:ascii="Times New Roman" w:eastAsia="Calibri" w:hAnsi="Times New Roman" w:cs="Times New Roman"/>
              </w:rPr>
            </w:pPr>
            <w:r w:rsidRPr="00091ABA">
              <w:rPr>
                <w:rFonts w:ascii="Times New Roman" w:eastAsia="Calibri" w:hAnsi="Times New Roman" w:cs="Times New Roman"/>
              </w:rPr>
              <w:t>100%</w:t>
            </w:r>
          </w:p>
        </w:tc>
        <w:tc>
          <w:tcPr>
            <w:tcW w:w="992" w:type="dxa"/>
            <w:vAlign w:val="center"/>
          </w:tcPr>
          <w:p w:rsidR="007B12D3" w:rsidRPr="00091ABA" w:rsidRDefault="007B12D3" w:rsidP="006C79D7">
            <w:pPr>
              <w:spacing w:after="0"/>
              <w:jc w:val="center"/>
              <w:rPr>
                <w:rFonts w:ascii="Times New Roman" w:eastAsia="Calibri" w:hAnsi="Times New Roman" w:cs="Times New Roman"/>
              </w:rPr>
            </w:pPr>
            <w:r w:rsidRPr="00091ABA">
              <w:rPr>
                <w:rFonts w:ascii="Times New Roman" w:eastAsia="Times New Roman" w:hAnsi="Times New Roman" w:cs="Times New Roman"/>
                <w:lang w:eastAsia="lv-LV"/>
              </w:rPr>
              <w:t>98%</w:t>
            </w:r>
          </w:p>
        </w:tc>
        <w:tc>
          <w:tcPr>
            <w:tcW w:w="1134" w:type="dxa"/>
            <w:shd w:val="clear" w:color="auto" w:fill="auto"/>
            <w:vAlign w:val="center"/>
          </w:tcPr>
          <w:p w:rsidR="007B12D3" w:rsidRPr="00091ABA" w:rsidRDefault="007B12D3" w:rsidP="006C79D7">
            <w:pPr>
              <w:pStyle w:val="naislab"/>
              <w:spacing w:before="0" w:after="0" w:afterAutospacing="0" w:line="276" w:lineRule="auto"/>
              <w:ind w:left="-104" w:right="-112"/>
              <w:jc w:val="center"/>
              <w:rPr>
                <w:b/>
                <w:sz w:val="22"/>
                <w:szCs w:val="22"/>
              </w:rPr>
            </w:pPr>
            <w:r>
              <w:rPr>
                <w:b/>
                <w:sz w:val="22"/>
                <w:szCs w:val="22"/>
              </w:rPr>
              <w:t>100%</w:t>
            </w:r>
          </w:p>
        </w:tc>
        <w:tc>
          <w:tcPr>
            <w:tcW w:w="5670" w:type="dxa"/>
            <w:shd w:val="clear" w:color="auto" w:fill="auto"/>
            <w:vAlign w:val="center"/>
          </w:tcPr>
          <w:p w:rsidR="007B12D3" w:rsidRPr="00091ABA" w:rsidRDefault="007B12D3" w:rsidP="006C79D7">
            <w:pPr>
              <w:pStyle w:val="ListParagraph"/>
              <w:tabs>
                <w:tab w:val="left" w:pos="5132"/>
              </w:tabs>
              <w:spacing w:after="0"/>
              <w:ind w:left="34" w:firstLine="425"/>
              <w:jc w:val="both"/>
              <w:rPr>
                <w:rFonts w:ascii="Times New Roman" w:hAnsi="Times New Roman" w:cs="Times New Roman"/>
              </w:rPr>
            </w:pPr>
            <w:r w:rsidRPr="00CD7D87">
              <w:rPr>
                <w:rFonts w:ascii="Times New Roman" w:hAnsi="Times New Roman" w:cs="Times New Roman"/>
              </w:rPr>
              <w:t xml:space="preserve">Mērķa sasniegšanu nodrošināja </w:t>
            </w:r>
            <w:r>
              <w:rPr>
                <w:rFonts w:ascii="Times New Roman" w:hAnsi="Times New Roman" w:cs="Times New Roman"/>
              </w:rPr>
              <w:t>Politisko organizāciju finansēšanas kontroles nodaļas</w:t>
            </w:r>
            <w:r w:rsidRPr="00CD7D87">
              <w:rPr>
                <w:rFonts w:ascii="Times New Roman" w:hAnsi="Times New Roman" w:cs="Times New Roman"/>
              </w:rPr>
              <w:t xml:space="preserve"> darbinieku profesionalitāte un uzkrātā profesionālā pieredze</w:t>
            </w:r>
            <w:r>
              <w:rPr>
                <w:rFonts w:ascii="Times New Roman" w:hAnsi="Times New Roman" w:cs="Times New Roman"/>
              </w:rPr>
              <w:t>.</w:t>
            </w:r>
          </w:p>
        </w:tc>
      </w:tr>
    </w:tbl>
    <w:p w:rsidR="005C7C99" w:rsidRDefault="005C7C99" w:rsidP="006C79D7"/>
    <w:p w:rsidR="00C47D85" w:rsidRDefault="00C47D85" w:rsidP="006C79D7"/>
    <w:p w:rsidR="007B12D3" w:rsidRDefault="007B12D3" w:rsidP="006C79D7"/>
    <w:p w:rsidR="007B12D3" w:rsidRDefault="007B12D3" w:rsidP="006C79D7"/>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992"/>
        <w:gridCol w:w="1134"/>
        <w:gridCol w:w="992"/>
        <w:gridCol w:w="1135"/>
        <w:gridCol w:w="5528"/>
      </w:tblGrid>
      <w:tr w:rsidR="00BC29F5" w:rsidRPr="00C52763" w:rsidTr="003F454D">
        <w:trPr>
          <w:trHeight w:val="633"/>
        </w:trPr>
        <w:tc>
          <w:tcPr>
            <w:tcW w:w="1985" w:type="dxa"/>
            <w:shd w:val="clear" w:color="auto" w:fill="auto"/>
            <w:vAlign w:val="center"/>
          </w:tcPr>
          <w:p w:rsidR="00BC29F5" w:rsidRPr="00C52763" w:rsidRDefault="00BC29F5" w:rsidP="006C79D7">
            <w:pPr>
              <w:spacing w:after="0"/>
              <w:jc w:val="center"/>
              <w:rPr>
                <w:rFonts w:ascii="Times New Roman" w:hAnsi="Times New Roman"/>
              </w:rPr>
            </w:pPr>
            <w:r w:rsidRPr="00C41916">
              <w:rPr>
                <w:rFonts w:ascii="Times New Roman" w:hAnsi="Times New Roman"/>
                <w:b/>
              </w:rPr>
              <w:lastRenderedPageBreak/>
              <w:t>Mērķis</w:t>
            </w:r>
          </w:p>
        </w:tc>
        <w:tc>
          <w:tcPr>
            <w:tcW w:w="2268" w:type="dxa"/>
            <w:shd w:val="clear" w:color="auto" w:fill="auto"/>
            <w:vAlign w:val="center"/>
          </w:tcPr>
          <w:p w:rsidR="00BC29F5" w:rsidRPr="00C52763" w:rsidRDefault="00BC29F5" w:rsidP="006C79D7">
            <w:pPr>
              <w:spacing w:after="0"/>
              <w:jc w:val="center"/>
              <w:rPr>
                <w:rFonts w:ascii="Times New Roman" w:hAnsi="Times New Roman"/>
              </w:rPr>
            </w:pPr>
            <w:r w:rsidRPr="00C41916">
              <w:rPr>
                <w:rFonts w:ascii="Times New Roman" w:hAnsi="Times New Roman"/>
                <w:b/>
              </w:rPr>
              <w:t>Rezultāts</w:t>
            </w:r>
          </w:p>
        </w:tc>
        <w:tc>
          <w:tcPr>
            <w:tcW w:w="992" w:type="dxa"/>
            <w:shd w:val="clear" w:color="auto" w:fill="auto"/>
            <w:vAlign w:val="center"/>
          </w:tcPr>
          <w:p w:rsidR="00BC29F5" w:rsidRPr="00C41916" w:rsidRDefault="00BC29F5" w:rsidP="006C79D7">
            <w:pPr>
              <w:spacing w:after="0"/>
              <w:jc w:val="center"/>
              <w:rPr>
                <w:rFonts w:ascii="Times New Roman" w:hAnsi="Times New Roman"/>
              </w:rPr>
            </w:pPr>
            <w:r w:rsidRPr="00C41916">
              <w:rPr>
                <w:rFonts w:ascii="Times New Roman" w:hAnsi="Times New Roman"/>
              </w:rPr>
              <w:t>201</w:t>
            </w:r>
            <w:r>
              <w:rPr>
                <w:rFonts w:ascii="Times New Roman" w:hAnsi="Times New Roman"/>
              </w:rPr>
              <w:t xml:space="preserve">5 </w:t>
            </w:r>
            <w:r w:rsidRPr="00C41916">
              <w:rPr>
                <w:rFonts w:ascii="Times New Roman" w:hAnsi="Times New Roman"/>
              </w:rPr>
              <w:t>izpilde</w:t>
            </w:r>
          </w:p>
        </w:tc>
        <w:tc>
          <w:tcPr>
            <w:tcW w:w="1134" w:type="dxa"/>
            <w:shd w:val="clear" w:color="auto" w:fill="auto"/>
            <w:vAlign w:val="center"/>
          </w:tcPr>
          <w:p w:rsidR="00BC29F5" w:rsidRPr="00C41916" w:rsidRDefault="00BC29F5" w:rsidP="006C79D7">
            <w:pPr>
              <w:spacing w:after="0"/>
              <w:jc w:val="center"/>
              <w:rPr>
                <w:rFonts w:ascii="Times New Roman" w:hAnsi="Times New Roman"/>
              </w:rPr>
            </w:pPr>
            <w:r w:rsidRPr="00C41916">
              <w:rPr>
                <w:rFonts w:ascii="Times New Roman" w:hAnsi="Times New Roman"/>
              </w:rPr>
              <w:t>201</w:t>
            </w:r>
            <w:r>
              <w:rPr>
                <w:rFonts w:ascii="Times New Roman" w:hAnsi="Times New Roman"/>
              </w:rPr>
              <w:t>6</w:t>
            </w:r>
          </w:p>
          <w:p w:rsidR="00BC29F5" w:rsidRPr="00C41916" w:rsidRDefault="00BC29F5" w:rsidP="006C79D7">
            <w:pPr>
              <w:spacing w:after="0"/>
              <w:jc w:val="center"/>
              <w:rPr>
                <w:rFonts w:ascii="Times New Roman" w:hAnsi="Times New Roman"/>
                <w:b/>
              </w:rPr>
            </w:pPr>
            <w:r w:rsidRPr="00C41916">
              <w:rPr>
                <w:rFonts w:ascii="Times New Roman" w:hAnsi="Times New Roman"/>
              </w:rPr>
              <w:t>izpilde</w:t>
            </w:r>
          </w:p>
        </w:tc>
        <w:tc>
          <w:tcPr>
            <w:tcW w:w="992" w:type="dxa"/>
            <w:vAlign w:val="center"/>
          </w:tcPr>
          <w:p w:rsidR="00BC29F5" w:rsidRPr="007731E8" w:rsidRDefault="00BC29F5" w:rsidP="006C79D7">
            <w:pPr>
              <w:spacing w:after="0"/>
              <w:jc w:val="center"/>
              <w:rPr>
                <w:rFonts w:ascii="Times New Roman" w:hAnsi="Times New Roman"/>
              </w:rPr>
            </w:pPr>
            <w:r w:rsidRPr="007731E8">
              <w:rPr>
                <w:rFonts w:ascii="Times New Roman" w:hAnsi="Times New Roman"/>
              </w:rPr>
              <w:t>201</w:t>
            </w:r>
            <w:r>
              <w:rPr>
                <w:rFonts w:ascii="Times New Roman" w:hAnsi="Times New Roman"/>
              </w:rPr>
              <w:t>7</w:t>
            </w:r>
            <w:r w:rsidRPr="007731E8">
              <w:rPr>
                <w:rFonts w:ascii="Times New Roman" w:hAnsi="Times New Roman"/>
              </w:rPr>
              <w:t xml:space="preserve"> plāns</w:t>
            </w:r>
          </w:p>
        </w:tc>
        <w:tc>
          <w:tcPr>
            <w:tcW w:w="1135" w:type="dxa"/>
            <w:shd w:val="clear" w:color="auto" w:fill="auto"/>
            <w:vAlign w:val="center"/>
          </w:tcPr>
          <w:p w:rsidR="00BC29F5" w:rsidRPr="00C41916" w:rsidRDefault="00BC29F5" w:rsidP="006C79D7">
            <w:pPr>
              <w:spacing w:after="0"/>
              <w:jc w:val="center"/>
              <w:rPr>
                <w:rFonts w:ascii="Times New Roman" w:hAnsi="Times New Roman"/>
                <w:b/>
              </w:rPr>
            </w:pPr>
            <w:r w:rsidRPr="00C41916">
              <w:rPr>
                <w:rFonts w:ascii="Times New Roman" w:hAnsi="Times New Roman"/>
                <w:b/>
              </w:rPr>
              <w:t>201</w:t>
            </w:r>
            <w:r>
              <w:rPr>
                <w:rFonts w:ascii="Times New Roman" w:hAnsi="Times New Roman"/>
                <w:b/>
              </w:rPr>
              <w:t>7</w:t>
            </w:r>
          </w:p>
          <w:p w:rsidR="00BC29F5" w:rsidRPr="00C41916" w:rsidRDefault="00BC29F5" w:rsidP="006C79D7">
            <w:pPr>
              <w:spacing w:after="0"/>
              <w:jc w:val="center"/>
              <w:rPr>
                <w:rFonts w:ascii="Times New Roman" w:hAnsi="Times New Roman"/>
                <w:b/>
              </w:rPr>
            </w:pPr>
            <w:r w:rsidRPr="00C41916">
              <w:rPr>
                <w:rFonts w:ascii="Times New Roman" w:hAnsi="Times New Roman"/>
                <w:b/>
              </w:rPr>
              <w:t>izpilde</w:t>
            </w:r>
          </w:p>
        </w:tc>
        <w:tc>
          <w:tcPr>
            <w:tcW w:w="5528" w:type="dxa"/>
            <w:shd w:val="clear" w:color="auto" w:fill="auto"/>
            <w:vAlign w:val="center"/>
          </w:tcPr>
          <w:p w:rsidR="00BC29F5" w:rsidRPr="00BC29F5" w:rsidRDefault="00BC29F5" w:rsidP="006C79D7">
            <w:pPr>
              <w:spacing w:after="0"/>
              <w:ind w:left="32" w:firstLine="1"/>
              <w:jc w:val="center"/>
              <w:rPr>
                <w:rFonts w:ascii="Times New Roman" w:hAnsi="Times New Roman" w:cs="Times New Roman"/>
              </w:rPr>
            </w:pPr>
            <w:r>
              <w:rPr>
                <w:rFonts w:ascii="Times New Roman" w:hAnsi="Times New Roman" w:cs="Times New Roman"/>
                <w:b/>
              </w:rPr>
              <w:t>K</w:t>
            </w:r>
            <w:r w:rsidRPr="00BC29F5">
              <w:rPr>
                <w:rFonts w:ascii="Times New Roman" w:hAnsi="Times New Roman" w:cs="Times New Roman"/>
                <w:b/>
              </w:rPr>
              <w:t>omentārs</w:t>
            </w:r>
          </w:p>
        </w:tc>
      </w:tr>
      <w:tr w:rsidR="007B12D3" w:rsidRPr="00C41916" w:rsidTr="00BC29F5">
        <w:trPr>
          <w:trHeight w:val="633"/>
        </w:trPr>
        <w:tc>
          <w:tcPr>
            <w:tcW w:w="1985"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Pr>
                <w:rFonts w:ascii="Times New Roman" w:eastAsia="Calibri" w:hAnsi="Times New Roman" w:cs="Times New Roman"/>
              </w:rPr>
              <w:t>Mazināt</w:t>
            </w:r>
            <w:r w:rsidRPr="00091ABA">
              <w:rPr>
                <w:rFonts w:ascii="Times New Roman" w:eastAsia="Calibri" w:hAnsi="Times New Roman" w:cs="Times New Roman"/>
              </w:rPr>
              <w:t xml:space="preserve"> naudas lom</w:t>
            </w:r>
            <w:r>
              <w:rPr>
                <w:rFonts w:ascii="Times New Roman" w:eastAsia="Calibri" w:hAnsi="Times New Roman" w:cs="Times New Roman"/>
              </w:rPr>
              <w:t>u un ietekmi</w:t>
            </w:r>
            <w:r w:rsidRPr="00091ABA">
              <w:rPr>
                <w:rFonts w:ascii="Times New Roman" w:eastAsia="Calibri" w:hAnsi="Times New Roman" w:cs="Times New Roman"/>
              </w:rPr>
              <w:t xml:space="preserve"> politikā</w:t>
            </w:r>
          </w:p>
        </w:tc>
        <w:tc>
          <w:tcPr>
            <w:tcW w:w="2268"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Konstatētie pārkāpumi politisko</w:t>
            </w:r>
          </w:p>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partiju finansēšanā un aģitācijas veikšanā</w:t>
            </w:r>
          </w:p>
        </w:tc>
        <w:tc>
          <w:tcPr>
            <w:tcW w:w="992"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36</w:t>
            </w:r>
          </w:p>
        </w:tc>
        <w:tc>
          <w:tcPr>
            <w:tcW w:w="1134"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26</w:t>
            </w:r>
          </w:p>
        </w:tc>
        <w:tc>
          <w:tcPr>
            <w:tcW w:w="992" w:type="dxa"/>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color w:val="000000" w:themeColor="text1"/>
              </w:rPr>
              <w:t>25</w:t>
            </w:r>
          </w:p>
        </w:tc>
        <w:tc>
          <w:tcPr>
            <w:tcW w:w="1135" w:type="dxa"/>
            <w:shd w:val="clear" w:color="auto" w:fill="auto"/>
            <w:vAlign w:val="center"/>
          </w:tcPr>
          <w:p w:rsidR="007B12D3" w:rsidRPr="009C075C" w:rsidRDefault="007B12D3" w:rsidP="00766EF5">
            <w:pPr>
              <w:pStyle w:val="ListParagraph"/>
              <w:spacing w:after="0"/>
              <w:ind w:left="34"/>
              <w:jc w:val="center"/>
              <w:rPr>
                <w:rFonts w:ascii="Times New Roman" w:hAnsi="Times New Roman" w:cs="Times New Roman"/>
                <w:b/>
              </w:rPr>
            </w:pPr>
            <w:r w:rsidRPr="009C075C">
              <w:rPr>
                <w:rFonts w:ascii="Times New Roman" w:hAnsi="Times New Roman" w:cs="Times New Roman"/>
                <w:b/>
              </w:rPr>
              <w:t>6</w:t>
            </w:r>
            <w:r w:rsidR="00766EF5">
              <w:rPr>
                <w:rFonts w:ascii="Times New Roman" w:hAnsi="Times New Roman" w:cs="Times New Roman"/>
                <w:b/>
              </w:rPr>
              <w:t>6</w:t>
            </w:r>
          </w:p>
        </w:tc>
        <w:tc>
          <w:tcPr>
            <w:tcW w:w="5528" w:type="dxa"/>
            <w:shd w:val="clear" w:color="auto" w:fill="auto"/>
            <w:vAlign w:val="center"/>
          </w:tcPr>
          <w:p w:rsidR="007B12D3" w:rsidRPr="00091ABA" w:rsidRDefault="007B12D3" w:rsidP="006C79D7">
            <w:pPr>
              <w:spacing w:after="0"/>
              <w:ind w:left="32" w:firstLine="426"/>
              <w:jc w:val="both"/>
              <w:rPr>
                <w:rFonts w:ascii="Times New Roman" w:hAnsi="Times New Roman" w:cs="Times New Roman"/>
              </w:rPr>
            </w:pPr>
            <w:r>
              <w:rPr>
                <w:rFonts w:ascii="Times New Roman" w:hAnsi="Times New Roman" w:cs="Times New Roman"/>
              </w:rPr>
              <w:t>Ņemot vērā, ka Latvijā 2017.gadā notika pašvaldību vēlēšanas, Birojs konstatēja ievērojami lielāku pārkāpumu skaitu.</w:t>
            </w:r>
          </w:p>
        </w:tc>
      </w:tr>
      <w:tr w:rsidR="007B12D3" w:rsidRPr="00C41916" w:rsidTr="00BC29F5">
        <w:trPr>
          <w:trHeight w:val="633"/>
        </w:trPr>
        <w:tc>
          <w:tcPr>
            <w:tcW w:w="1985"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hAnsi="Times New Roman" w:cs="Times New Roman"/>
              </w:rPr>
              <w:br w:type="page"/>
            </w:r>
            <w:r>
              <w:rPr>
                <w:rFonts w:ascii="Times New Roman" w:eastAsia="Calibri" w:hAnsi="Times New Roman" w:cs="Times New Roman"/>
              </w:rPr>
              <w:t>Nodrošināt Biroja pieņemto lēmumu likumību</w:t>
            </w:r>
          </w:p>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un pamatotīb</w:t>
            </w:r>
            <w:r>
              <w:rPr>
                <w:rFonts w:ascii="Times New Roman" w:eastAsia="Calibri" w:hAnsi="Times New Roman" w:cs="Times New Roman"/>
              </w:rPr>
              <w:t>u valsts amatpersonu kontroles jomā</w:t>
            </w:r>
          </w:p>
        </w:tc>
        <w:tc>
          <w:tcPr>
            <w:tcW w:w="2268"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Biroja pieņemto</w:t>
            </w:r>
          </w:p>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lēmumu īpatsvars</w:t>
            </w:r>
          </w:p>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saistībā ar administratīvajiem pārkāpumiem</w:t>
            </w:r>
          </w:p>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korupcijas novēršanas jomā,</w:t>
            </w:r>
          </w:p>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kas nav atcelti</w:t>
            </w:r>
          </w:p>
        </w:tc>
        <w:tc>
          <w:tcPr>
            <w:tcW w:w="992"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100%</w:t>
            </w:r>
          </w:p>
        </w:tc>
        <w:tc>
          <w:tcPr>
            <w:tcW w:w="1134"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99,54%</w:t>
            </w:r>
          </w:p>
        </w:tc>
        <w:tc>
          <w:tcPr>
            <w:tcW w:w="992" w:type="dxa"/>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color w:val="000000" w:themeColor="text1"/>
              </w:rPr>
              <w:t>98%</w:t>
            </w:r>
          </w:p>
        </w:tc>
        <w:tc>
          <w:tcPr>
            <w:tcW w:w="1135" w:type="dxa"/>
            <w:shd w:val="clear" w:color="auto" w:fill="auto"/>
            <w:vAlign w:val="center"/>
          </w:tcPr>
          <w:p w:rsidR="007B12D3" w:rsidRPr="0027327E" w:rsidRDefault="003A3A10" w:rsidP="008928F5">
            <w:pPr>
              <w:spacing w:after="0"/>
              <w:ind w:left="34"/>
              <w:jc w:val="center"/>
              <w:rPr>
                <w:rFonts w:ascii="Times New Roman" w:eastAsia="Calibri" w:hAnsi="Times New Roman" w:cs="Times New Roman"/>
                <w:b/>
              </w:rPr>
            </w:pPr>
            <w:r>
              <w:rPr>
                <w:rFonts w:ascii="Times New Roman" w:eastAsia="Calibri" w:hAnsi="Times New Roman" w:cs="Times New Roman"/>
                <w:b/>
                <w:color w:val="000000" w:themeColor="text1"/>
              </w:rPr>
              <w:t>9</w:t>
            </w:r>
            <w:r w:rsidR="008928F5">
              <w:rPr>
                <w:rFonts w:ascii="Times New Roman" w:eastAsia="Calibri" w:hAnsi="Times New Roman" w:cs="Times New Roman"/>
                <w:b/>
                <w:color w:val="000000" w:themeColor="text1"/>
              </w:rPr>
              <w:t>8,3</w:t>
            </w:r>
            <w:r w:rsidR="007B12D3" w:rsidRPr="0027327E">
              <w:rPr>
                <w:rFonts w:ascii="Times New Roman" w:eastAsia="Calibri" w:hAnsi="Times New Roman" w:cs="Times New Roman"/>
                <w:b/>
                <w:color w:val="000000" w:themeColor="text1"/>
              </w:rPr>
              <w:t>%</w:t>
            </w:r>
          </w:p>
        </w:tc>
        <w:tc>
          <w:tcPr>
            <w:tcW w:w="5528" w:type="dxa"/>
            <w:shd w:val="clear" w:color="auto" w:fill="auto"/>
            <w:vAlign w:val="center"/>
          </w:tcPr>
          <w:p w:rsidR="007B12D3" w:rsidRPr="00091ABA" w:rsidRDefault="007B12D3" w:rsidP="006C79D7">
            <w:pPr>
              <w:spacing w:after="0"/>
              <w:ind w:left="32" w:firstLine="426"/>
              <w:jc w:val="both"/>
              <w:rPr>
                <w:rFonts w:ascii="Times New Roman" w:eastAsia="Calibri" w:hAnsi="Times New Roman" w:cs="Times New Roman"/>
              </w:rPr>
            </w:pPr>
            <w:r w:rsidRPr="00CD7D87">
              <w:rPr>
                <w:rFonts w:ascii="Times New Roman" w:eastAsia="Calibri" w:hAnsi="Times New Roman" w:cs="Times New Roman"/>
              </w:rPr>
              <w:t xml:space="preserve">Mērķa sasniegšanu nodrošināja </w:t>
            </w:r>
            <w:r>
              <w:rPr>
                <w:rFonts w:ascii="Times New Roman" w:eastAsia="Calibri" w:hAnsi="Times New Roman" w:cs="Times New Roman"/>
              </w:rPr>
              <w:t>Valsts amatpersonu darbības kontroles nodaļas</w:t>
            </w:r>
            <w:r w:rsidRPr="00CD7D87">
              <w:rPr>
                <w:rFonts w:ascii="Times New Roman" w:eastAsia="Calibri" w:hAnsi="Times New Roman" w:cs="Times New Roman"/>
              </w:rPr>
              <w:t xml:space="preserve"> darbinieku profesionalitāte un uzkrātā profesionālā pieredze.</w:t>
            </w:r>
          </w:p>
        </w:tc>
      </w:tr>
      <w:tr w:rsidR="007B12D3" w:rsidRPr="00C41916" w:rsidTr="00BC29F5">
        <w:trPr>
          <w:trHeight w:val="633"/>
        </w:trPr>
        <w:tc>
          <w:tcPr>
            <w:tcW w:w="1985" w:type="dxa"/>
            <w:vMerge w:val="restart"/>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Pr>
                <w:rFonts w:ascii="Times New Roman" w:eastAsia="Calibri" w:hAnsi="Times New Roman" w:cs="Times New Roman"/>
                <w:bCs/>
                <w:color w:val="000000"/>
                <w:lang w:eastAsia="lv-LV"/>
              </w:rPr>
              <w:t>Veikt valsts amatpersonu kontroli</w:t>
            </w:r>
            <w:r w:rsidRPr="00091ABA">
              <w:rPr>
                <w:rFonts w:ascii="Times New Roman" w:eastAsia="Calibri" w:hAnsi="Times New Roman" w:cs="Times New Roman"/>
                <w:bCs/>
                <w:color w:val="000000"/>
                <w:lang w:eastAsia="lv-LV"/>
              </w:rPr>
              <w:t xml:space="preserve"> interešu konfliktu novēršanas jomā</w:t>
            </w:r>
          </w:p>
        </w:tc>
        <w:tc>
          <w:tcPr>
            <w:tcW w:w="2268"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Biroja pieņemtie lēmumi par Interešu konflikta likuma normu pārkāpumiem</w:t>
            </w:r>
          </w:p>
        </w:tc>
        <w:tc>
          <w:tcPr>
            <w:tcW w:w="992"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285</w:t>
            </w:r>
          </w:p>
        </w:tc>
        <w:tc>
          <w:tcPr>
            <w:tcW w:w="1134"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263</w:t>
            </w:r>
          </w:p>
        </w:tc>
        <w:tc>
          <w:tcPr>
            <w:tcW w:w="992" w:type="dxa"/>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260</w:t>
            </w:r>
          </w:p>
        </w:tc>
        <w:tc>
          <w:tcPr>
            <w:tcW w:w="1135" w:type="dxa"/>
            <w:shd w:val="clear" w:color="auto" w:fill="auto"/>
            <w:vAlign w:val="center"/>
          </w:tcPr>
          <w:p w:rsidR="007B12D3" w:rsidRPr="006A27C6" w:rsidRDefault="007B12D3" w:rsidP="006C79D7">
            <w:pPr>
              <w:spacing w:after="0"/>
              <w:ind w:left="34"/>
              <w:jc w:val="center"/>
              <w:rPr>
                <w:rFonts w:ascii="Times New Roman" w:eastAsia="Calibri" w:hAnsi="Times New Roman" w:cs="Times New Roman"/>
                <w:b/>
              </w:rPr>
            </w:pPr>
            <w:r>
              <w:rPr>
                <w:rFonts w:ascii="Times New Roman" w:eastAsia="Calibri" w:hAnsi="Times New Roman" w:cs="Times New Roman"/>
                <w:b/>
              </w:rPr>
              <w:t>297</w:t>
            </w:r>
          </w:p>
        </w:tc>
        <w:tc>
          <w:tcPr>
            <w:tcW w:w="5528" w:type="dxa"/>
            <w:shd w:val="clear" w:color="auto" w:fill="auto"/>
            <w:vAlign w:val="center"/>
          </w:tcPr>
          <w:p w:rsidR="007B12D3" w:rsidRPr="00091ABA" w:rsidRDefault="007B12D3" w:rsidP="006C79D7">
            <w:pPr>
              <w:spacing w:after="0"/>
              <w:ind w:left="32" w:firstLine="426"/>
              <w:jc w:val="both"/>
              <w:rPr>
                <w:rFonts w:ascii="Times New Roman" w:eastAsia="Calibri" w:hAnsi="Times New Roman" w:cs="Times New Roman"/>
              </w:rPr>
            </w:pPr>
            <w:r>
              <w:rPr>
                <w:rFonts w:ascii="Times New Roman" w:eastAsia="Calibri" w:hAnsi="Times New Roman" w:cs="Times New Roman"/>
              </w:rPr>
              <w:t xml:space="preserve">Biroja pieņemto lēmumu skaits interešu konflikta novēršanas jomā ir palielinājies. Pārskata periodā 30% no Biroja pieņemtajiem lēmumiem interešu konflikta novēršanas jomā bija par valsts amatpersonu neatbilstošu rīcību ar publiskas personas mantu. </w:t>
            </w:r>
          </w:p>
        </w:tc>
      </w:tr>
      <w:tr w:rsidR="007B12D3" w:rsidRPr="00C41916" w:rsidTr="00BC29F5">
        <w:trPr>
          <w:trHeight w:val="633"/>
        </w:trPr>
        <w:tc>
          <w:tcPr>
            <w:tcW w:w="1985" w:type="dxa"/>
            <w:vMerge/>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p>
        </w:tc>
        <w:tc>
          <w:tcPr>
            <w:tcW w:w="2268"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Izvērtēto valsts amatpersonu deklarāciju skaits (valsts amatpersonu skaits)</w:t>
            </w:r>
          </w:p>
        </w:tc>
        <w:tc>
          <w:tcPr>
            <w:tcW w:w="992"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948</w:t>
            </w:r>
          </w:p>
        </w:tc>
        <w:tc>
          <w:tcPr>
            <w:tcW w:w="1134" w:type="dxa"/>
            <w:shd w:val="clear" w:color="auto" w:fill="auto"/>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872</w:t>
            </w:r>
          </w:p>
        </w:tc>
        <w:tc>
          <w:tcPr>
            <w:tcW w:w="992" w:type="dxa"/>
            <w:vAlign w:val="center"/>
          </w:tcPr>
          <w:p w:rsidR="007B12D3" w:rsidRPr="00091ABA" w:rsidRDefault="007B12D3" w:rsidP="006C79D7">
            <w:pPr>
              <w:spacing w:after="0"/>
              <w:ind w:left="34"/>
              <w:jc w:val="center"/>
              <w:rPr>
                <w:rFonts w:ascii="Times New Roman" w:eastAsia="Calibri" w:hAnsi="Times New Roman" w:cs="Times New Roman"/>
              </w:rPr>
            </w:pPr>
            <w:r w:rsidRPr="00091ABA">
              <w:rPr>
                <w:rFonts w:ascii="Times New Roman" w:eastAsia="Calibri" w:hAnsi="Times New Roman" w:cs="Times New Roman"/>
              </w:rPr>
              <w:t>950</w:t>
            </w:r>
          </w:p>
        </w:tc>
        <w:tc>
          <w:tcPr>
            <w:tcW w:w="1135" w:type="dxa"/>
            <w:shd w:val="clear" w:color="auto" w:fill="auto"/>
            <w:vAlign w:val="center"/>
          </w:tcPr>
          <w:p w:rsidR="007B12D3" w:rsidRPr="006A27C6" w:rsidRDefault="007B12D3" w:rsidP="006C79D7">
            <w:pPr>
              <w:spacing w:after="0"/>
              <w:ind w:left="34"/>
              <w:jc w:val="center"/>
              <w:rPr>
                <w:rFonts w:ascii="Times New Roman" w:eastAsia="Calibri" w:hAnsi="Times New Roman" w:cs="Times New Roman"/>
                <w:b/>
              </w:rPr>
            </w:pPr>
            <w:r w:rsidRPr="006A27C6">
              <w:rPr>
                <w:rFonts w:ascii="Times New Roman" w:eastAsia="Calibri" w:hAnsi="Times New Roman" w:cs="Times New Roman"/>
                <w:b/>
              </w:rPr>
              <w:t>1190</w:t>
            </w:r>
          </w:p>
        </w:tc>
        <w:tc>
          <w:tcPr>
            <w:tcW w:w="5528" w:type="dxa"/>
            <w:shd w:val="clear" w:color="auto" w:fill="auto"/>
            <w:vAlign w:val="center"/>
          </w:tcPr>
          <w:p w:rsidR="007B12D3" w:rsidRPr="00091ABA" w:rsidRDefault="00E666C6" w:rsidP="006C79D7">
            <w:pPr>
              <w:spacing w:after="0"/>
              <w:ind w:left="32" w:firstLine="426"/>
              <w:jc w:val="both"/>
              <w:rPr>
                <w:rFonts w:ascii="Times New Roman" w:eastAsia="Calibri" w:hAnsi="Times New Roman" w:cs="Times New Roman"/>
              </w:rPr>
            </w:pPr>
            <w:r>
              <w:rPr>
                <w:rFonts w:ascii="Times New Roman" w:eastAsia="Calibri" w:hAnsi="Times New Roman" w:cs="Times New Roman"/>
              </w:rPr>
              <w:t>Mērķis ir sasniegts. T</w:t>
            </w:r>
            <w:r w:rsidR="007B12D3">
              <w:rPr>
                <w:rFonts w:ascii="Times New Roman" w:eastAsia="Calibri" w:hAnsi="Times New Roman" w:cs="Times New Roman"/>
              </w:rPr>
              <w:t>o nodrošināja Biroja pārbaudīto valsts amatpersonu skaita palielināšana, aptverot plašāku valsts amatpersonu loku.</w:t>
            </w:r>
          </w:p>
        </w:tc>
      </w:tr>
    </w:tbl>
    <w:p w:rsidR="005C7C99" w:rsidRDefault="005C7C99" w:rsidP="006C79D7">
      <w:pPr>
        <w:sectPr w:rsidR="005C7C99" w:rsidSect="00F069CC">
          <w:pgSz w:w="16838" w:h="11906" w:orient="landscape" w:code="9"/>
          <w:pgMar w:top="1134" w:right="1134" w:bottom="1134" w:left="1701" w:header="709" w:footer="709" w:gutter="0"/>
          <w:cols w:space="708"/>
          <w:docGrid w:linePitch="360"/>
        </w:sectPr>
      </w:pPr>
    </w:p>
    <w:p w:rsidR="005C7C99" w:rsidRPr="00F24C19" w:rsidRDefault="0052015E" w:rsidP="00F24C19">
      <w:pPr>
        <w:pStyle w:val="Heading2"/>
        <w:spacing w:before="0"/>
        <w:rPr>
          <w:sz w:val="28"/>
          <w:szCs w:val="28"/>
        </w:rPr>
      </w:pPr>
      <w:bookmarkStart w:id="66" w:name="_Toc474219925"/>
      <w:bookmarkStart w:id="67" w:name="_Toc474220929"/>
      <w:bookmarkStart w:id="68" w:name="_Toc474410936"/>
      <w:bookmarkStart w:id="69" w:name="_Toc505249174"/>
      <w:r w:rsidRPr="00F24C19">
        <w:rPr>
          <w:sz w:val="28"/>
          <w:szCs w:val="28"/>
        </w:rPr>
        <w:lastRenderedPageBreak/>
        <w:t>7. </w:t>
      </w:r>
      <w:r w:rsidR="005C7C99" w:rsidRPr="00F24C19">
        <w:rPr>
          <w:sz w:val="28"/>
          <w:szCs w:val="28"/>
        </w:rPr>
        <w:t>Biroja budžeta līdzekļu izlietojums</w:t>
      </w:r>
      <w:bookmarkEnd w:id="66"/>
      <w:bookmarkEnd w:id="67"/>
      <w:bookmarkEnd w:id="68"/>
      <w:bookmarkEnd w:id="69"/>
    </w:p>
    <w:p w:rsidR="005C7C99" w:rsidRPr="00C41916" w:rsidRDefault="005C7C99" w:rsidP="006C79D7">
      <w:pPr>
        <w:pStyle w:val="Default"/>
        <w:spacing w:line="276" w:lineRule="auto"/>
        <w:ind w:firstLine="567"/>
        <w:jc w:val="both"/>
        <w:rPr>
          <w:color w:val="auto"/>
        </w:rPr>
      </w:pPr>
    </w:p>
    <w:p w:rsidR="005C7C99" w:rsidRPr="00705F28" w:rsidRDefault="005C7C99" w:rsidP="006C79D7">
      <w:pPr>
        <w:pStyle w:val="Default"/>
        <w:spacing w:line="276" w:lineRule="auto"/>
        <w:ind w:firstLine="709"/>
        <w:jc w:val="both"/>
        <w:rPr>
          <w:color w:val="auto"/>
        </w:rPr>
      </w:pPr>
      <w:r w:rsidRPr="008F6164">
        <w:rPr>
          <w:color w:val="auto"/>
        </w:rPr>
        <w:t>Birojam 201</w:t>
      </w:r>
      <w:r w:rsidR="008F6164" w:rsidRPr="008F6164">
        <w:rPr>
          <w:color w:val="auto"/>
        </w:rPr>
        <w:t>7</w:t>
      </w:r>
      <w:r w:rsidRPr="008F6164">
        <w:rPr>
          <w:color w:val="auto"/>
        </w:rPr>
        <w:t xml:space="preserve">.gadā piešķirtais valsts budžeta finansējums bija </w:t>
      </w:r>
      <w:r w:rsidR="005D03C7">
        <w:rPr>
          <w:color w:val="auto"/>
        </w:rPr>
        <w:t>5 665 </w:t>
      </w:r>
      <w:r w:rsidR="006C0EB9">
        <w:rPr>
          <w:color w:val="auto"/>
        </w:rPr>
        <w:t>676</w:t>
      </w:r>
      <w:r w:rsidR="005D03C7">
        <w:rPr>
          <w:color w:val="auto"/>
        </w:rPr>
        <w:t> </w:t>
      </w:r>
      <w:proofErr w:type="spellStart"/>
      <w:r w:rsidR="008F6164" w:rsidRPr="008F6164">
        <w:rPr>
          <w:i/>
          <w:color w:val="auto"/>
        </w:rPr>
        <w:t>euro</w:t>
      </w:r>
      <w:proofErr w:type="spellEnd"/>
      <w:r w:rsidR="00705F28">
        <w:rPr>
          <w:color w:val="auto"/>
        </w:rPr>
        <w:t xml:space="preserve">, papildus tam Birojs piesaistīja ārvalstu finanšu palīdzību 93 206 </w:t>
      </w:r>
      <w:proofErr w:type="spellStart"/>
      <w:r w:rsidR="00705F28">
        <w:rPr>
          <w:i/>
          <w:color w:val="auto"/>
        </w:rPr>
        <w:t>euro</w:t>
      </w:r>
      <w:proofErr w:type="spellEnd"/>
      <w:r w:rsidR="00705F28">
        <w:rPr>
          <w:color w:val="auto"/>
        </w:rPr>
        <w:t xml:space="preserve"> apmērā.</w:t>
      </w:r>
    </w:p>
    <w:p w:rsidR="00705F28" w:rsidRPr="008F6164" w:rsidRDefault="00705F28" w:rsidP="006C79D7">
      <w:pPr>
        <w:pStyle w:val="Default"/>
        <w:spacing w:line="276" w:lineRule="auto"/>
        <w:ind w:firstLine="567"/>
        <w:jc w:val="both"/>
        <w:rPr>
          <w:color w:val="auto"/>
        </w:rPr>
      </w:pPr>
    </w:p>
    <w:p w:rsidR="005F70B3" w:rsidRPr="005F70B3" w:rsidRDefault="005F70B3" w:rsidP="006C79D7">
      <w:pPr>
        <w:pStyle w:val="Default"/>
        <w:spacing w:line="276" w:lineRule="auto"/>
        <w:jc w:val="right"/>
        <w:rPr>
          <w:i/>
          <w:color w:val="auto"/>
        </w:rPr>
      </w:pPr>
      <w:r>
        <w:rPr>
          <w:i/>
          <w:color w:val="auto"/>
        </w:rPr>
        <w:t>2.tabula. Budžeta līdzekļu izlietojums</w:t>
      </w:r>
    </w:p>
    <w:tbl>
      <w:tblPr>
        <w:tblStyle w:val="TableGrid"/>
        <w:tblW w:w="9322" w:type="dxa"/>
        <w:tblLook w:val="04A0" w:firstRow="1" w:lastRow="0" w:firstColumn="1" w:lastColumn="0" w:noHBand="0" w:noVBand="1"/>
      </w:tblPr>
      <w:tblGrid>
        <w:gridCol w:w="1101"/>
        <w:gridCol w:w="2976"/>
        <w:gridCol w:w="1985"/>
        <w:gridCol w:w="1701"/>
        <w:gridCol w:w="1559"/>
      </w:tblGrid>
      <w:tr w:rsidR="0076333A" w:rsidRPr="0076333A" w:rsidTr="0076333A">
        <w:tc>
          <w:tcPr>
            <w:tcW w:w="1101" w:type="dxa"/>
            <w:vMerge w:val="restart"/>
            <w:vAlign w:val="center"/>
          </w:tcPr>
          <w:p w:rsidR="0076333A" w:rsidRPr="0076333A" w:rsidRDefault="0076333A" w:rsidP="006C79D7">
            <w:pPr>
              <w:pStyle w:val="Default"/>
              <w:spacing w:line="276" w:lineRule="auto"/>
              <w:jc w:val="center"/>
              <w:rPr>
                <w:b/>
                <w:color w:val="auto"/>
              </w:rPr>
            </w:pPr>
            <w:r>
              <w:rPr>
                <w:b/>
                <w:color w:val="auto"/>
              </w:rPr>
              <w:t>Nr. p. k.</w:t>
            </w:r>
          </w:p>
        </w:tc>
        <w:tc>
          <w:tcPr>
            <w:tcW w:w="2976" w:type="dxa"/>
            <w:vMerge w:val="restart"/>
            <w:vAlign w:val="center"/>
          </w:tcPr>
          <w:p w:rsidR="0076333A" w:rsidRPr="0076333A" w:rsidRDefault="0076333A" w:rsidP="006C79D7">
            <w:pPr>
              <w:pStyle w:val="Default"/>
              <w:spacing w:line="276" w:lineRule="auto"/>
              <w:jc w:val="center"/>
              <w:rPr>
                <w:b/>
                <w:color w:val="auto"/>
              </w:rPr>
            </w:pPr>
            <w:r>
              <w:rPr>
                <w:b/>
                <w:color w:val="auto"/>
              </w:rPr>
              <w:t>Finansiālie rādītāji</w:t>
            </w:r>
          </w:p>
        </w:tc>
        <w:tc>
          <w:tcPr>
            <w:tcW w:w="1985" w:type="dxa"/>
            <w:vMerge w:val="restart"/>
            <w:vAlign w:val="center"/>
          </w:tcPr>
          <w:p w:rsidR="0076333A" w:rsidRPr="0076333A" w:rsidRDefault="008F6164" w:rsidP="006C79D7">
            <w:pPr>
              <w:pStyle w:val="Default"/>
              <w:spacing w:line="276" w:lineRule="auto"/>
              <w:jc w:val="center"/>
              <w:rPr>
                <w:b/>
                <w:color w:val="auto"/>
              </w:rPr>
            </w:pPr>
            <w:r>
              <w:rPr>
                <w:b/>
                <w:color w:val="auto"/>
              </w:rPr>
              <w:t>2016.</w:t>
            </w:r>
            <w:r w:rsidR="0076333A">
              <w:rPr>
                <w:b/>
                <w:color w:val="auto"/>
              </w:rPr>
              <w:t>gadā (faktiskā izpilde)</w:t>
            </w:r>
          </w:p>
        </w:tc>
        <w:tc>
          <w:tcPr>
            <w:tcW w:w="3260" w:type="dxa"/>
            <w:gridSpan w:val="2"/>
            <w:vAlign w:val="center"/>
          </w:tcPr>
          <w:p w:rsidR="0076333A" w:rsidRPr="0076333A" w:rsidRDefault="0076333A" w:rsidP="006C79D7">
            <w:pPr>
              <w:pStyle w:val="Default"/>
              <w:spacing w:line="276" w:lineRule="auto"/>
              <w:jc w:val="center"/>
              <w:rPr>
                <w:b/>
                <w:color w:val="auto"/>
              </w:rPr>
            </w:pPr>
            <w:r>
              <w:rPr>
                <w:b/>
                <w:color w:val="auto"/>
              </w:rPr>
              <w:t>Pārskata gadā uz 31.12.2017.</w:t>
            </w:r>
          </w:p>
        </w:tc>
      </w:tr>
      <w:tr w:rsidR="0076333A" w:rsidRPr="0076333A" w:rsidTr="0076333A">
        <w:tc>
          <w:tcPr>
            <w:tcW w:w="1101" w:type="dxa"/>
            <w:vMerge/>
            <w:vAlign w:val="center"/>
          </w:tcPr>
          <w:p w:rsidR="0076333A" w:rsidRPr="0076333A" w:rsidRDefault="0076333A" w:rsidP="006C79D7">
            <w:pPr>
              <w:pStyle w:val="Default"/>
              <w:spacing w:line="276" w:lineRule="auto"/>
              <w:jc w:val="center"/>
              <w:rPr>
                <w:b/>
                <w:color w:val="auto"/>
              </w:rPr>
            </w:pPr>
          </w:p>
        </w:tc>
        <w:tc>
          <w:tcPr>
            <w:tcW w:w="2976" w:type="dxa"/>
            <w:vMerge/>
            <w:vAlign w:val="center"/>
          </w:tcPr>
          <w:p w:rsidR="0076333A" w:rsidRPr="0076333A" w:rsidRDefault="0076333A" w:rsidP="006C79D7">
            <w:pPr>
              <w:pStyle w:val="Default"/>
              <w:spacing w:line="276" w:lineRule="auto"/>
              <w:jc w:val="center"/>
              <w:rPr>
                <w:b/>
                <w:color w:val="auto"/>
              </w:rPr>
            </w:pPr>
          </w:p>
        </w:tc>
        <w:tc>
          <w:tcPr>
            <w:tcW w:w="1985" w:type="dxa"/>
            <w:vMerge/>
            <w:vAlign w:val="center"/>
          </w:tcPr>
          <w:p w:rsidR="0076333A" w:rsidRPr="0076333A" w:rsidRDefault="0076333A" w:rsidP="006C79D7">
            <w:pPr>
              <w:pStyle w:val="Default"/>
              <w:spacing w:line="276" w:lineRule="auto"/>
              <w:jc w:val="center"/>
              <w:rPr>
                <w:b/>
                <w:color w:val="auto"/>
              </w:rPr>
            </w:pPr>
          </w:p>
        </w:tc>
        <w:tc>
          <w:tcPr>
            <w:tcW w:w="1701" w:type="dxa"/>
            <w:vAlign w:val="center"/>
          </w:tcPr>
          <w:p w:rsidR="0076333A" w:rsidRPr="0076333A" w:rsidRDefault="005F70B3" w:rsidP="006C79D7">
            <w:pPr>
              <w:pStyle w:val="Default"/>
              <w:spacing w:line="276" w:lineRule="auto"/>
              <w:jc w:val="center"/>
              <w:rPr>
                <w:b/>
                <w:color w:val="auto"/>
              </w:rPr>
            </w:pPr>
            <w:r>
              <w:rPr>
                <w:b/>
                <w:color w:val="auto"/>
              </w:rPr>
              <w:t>a</w:t>
            </w:r>
            <w:r w:rsidR="0076333A">
              <w:rPr>
                <w:b/>
                <w:color w:val="auto"/>
              </w:rPr>
              <w:t xml:space="preserve">pstiprināts </w:t>
            </w:r>
            <w:r>
              <w:rPr>
                <w:b/>
                <w:color w:val="auto"/>
              </w:rPr>
              <w:t>likumā</w:t>
            </w:r>
          </w:p>
        </w:tc>
        <w:tc>
          <w:tcPr>
            <w:tcW w:w="1559" w:type="dxa"/>
            <w:vAlign w:val="center"/>
          </w:tcPr>
          <w:p w:rsidR="0076333A" w:rsidRPr="0076333A" w:rsidRDefault="005F70B3" w:rsidP="006C79D7">
            <w:pPr>
              <w:pStyle w:val="Default"/>
              <w:spacing w:line="276" w:lineRule="auto"/>
              <w:jc w:val="center"/>
              <w:rPr>
                <w:b/>
                <w:color w:val="auto"/>
              </w:rPr>
            </w:pPr>
            <w:r>
              <w:rPr>
                <w:b/>
                <w:color w:val="auto"/>
              </w:rPr>
              <w:t>faktiskā izpilde</w:t>
            </w:r>
          </w:p>
        </w:tc>
      </w:tr>
      <w:tr w:rsidR="00195BD8" w:rsidRPr="0076333A" w:rsidTr="00195BD8">
        <w:tc>
          <w:tcPr>
            <w:tcW w:w="1101" w:type="dxa"/>
            <w:vAlign w:val="center"/>
          </w:tcPr>
          <w:p w:rsidR="00195BD8" w:rsidRPr="0076333A" w:rsidRDefault="00195BD8" w:rsidP="006C79D7">
            <w:pPr>
              <w:pStyle w:val="Default"/>
              <w:spacing w:line="276" w:lineRule="auto"/>
              <w:jc w:val="center"/>
              <w:rPr>
                <w:color w:val="auto"/>
              </w:rPr>
            </w:pPr>
            <w:r>
              <w:rPr>
                <w:color w:val="auto"/>
              </w:rPr>
              <w:t>1.</w:t>
            </w:r>
          </w:p>
        </w:tc>
        <w:tc>
          <w:tcPr>
            <w:tcW w:w="2976" w:type="dxa"/>
          </w:tcPr>
          <w:p w:rsidR="00195BD8" w:rsidRPr="00C41916" w:rsidRDefault="00195BD8"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Finanšu resursi izdevumu segšanai (kopā)</w:t>
            </w:r>
          </w:p>
        </w:tc>
        <w:tc>
          <w:tcPr>
            <w:tcW w:w="1985" w:type="dxa"/>
            <w:vAlign w:val="center"/>
          </w:tcPr>
          <w:p w:rsidR="00195BD8" w:rsidRPr="00195BD8" w:rsidRDefault="00195BD8" w:rsidP="006C79D7">
            <w:pPr>
              <w:spacing w:line="276" w:lineRule="auto"/>
              <w:jc w:val="center"/>
              <w:rPr>
                <w:rFonts w:ascii="Times New Roman" w:hAnsi="Times New Roman" w:cs="Times New Roman"/>
                <w:lang w:eastAsia="lv-LV"/>
              </w:rPr>
            </w:pPr>
            <w:r w:rsidRPr="00195BD8">
              <w:rPr>
                <w:rFonts w:ascii="Times New Roman" w:hAnsi="Times New Roman" w:cs="Times New Roman"/>
                <w:lang w:eastAsia="lv-LV"/>
              </w:rPr>
              <w:t>4 939 010</w:t>
            </w:r>
          </w:p>
        </w:tc>
        <w:tc>
          <w:tcPr>
            <w:tcW w:w="1701"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5 758 882</w:t>
            </w:r>
          </w:p>
        </w:tc>
        <w:tc>
          <w:tcPr>
            <w:tcW w:w="1559"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5 758 882</w:t>
            </w:r>
          </w:p>
        </w:tc>
      </w:tr>
      <w:tr w:rsidR="00195BD8" w:rsidRPr="0076333A" w:rsidTr="00195BD8">
        <w:tc>
          <w:tcPr>
            <w:tcW w:w="1101" w:type="dxa"/>
            <w:vAlign w:val="center"/>
          </w:tcPr>
          <w:p w:rsidR="00195BD8" w:rsidRPr="0076333A" w:rsidRDefault="00195BD8" w:rsidP="006C79D7">
            <w:pPr>
              <w:pStyle w:val="Default"/>
              <w:spacing w:line="276" w:lineRule="auto"/>
              <w:jc w:val="center"/>
              <w:rPr>
                <w:color w:val="auto"/>
              </w:rPr>
            </w:pPr>
            <w:r>
              <w:rPr>
                <w:color w:val="auto"/>
              </w:rPr>
              <w:t>1.1.</w:t>
            </w:r>
          </w:p>
        </w:tc>
        <w:tc>
          <w:tcPr>
            <w:tcW w:w="2976" w:type="dxa"/>
          </w:tcPr>
          <w:p w:rsidR="00195BD8" w:rsidRPr="00C41916" w:rsidRDefault="00195BD8"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dotācijas</w:t>
            </w:r>
          </w:p>
        </w:tc>
        <w:tc>
          <w:tcPr>
            <w:tcW w:w="1985" w:type="dxa"/>
            <w:vAlign w:val="center"/>
          </w:tcPr>
          <w:p w:rsidR="00195BD8" w:rsidRPr="00195BD8" w:rsidRDefault="00195BD8" w:rsidP="006C79D7">
            <w:pPr>
              <w:spacing w:line="276" w:lineRule="auto"/>
              <w:jc w:val="center"/>
              <w:rPr>
                <w:rFonts w:ascii="Times New Roman" w:hAnsi="Times New Roman" w:cs="Times New Roman"/>
                <w:lang w:eastAsia="lv-LV"/>
              </w:rPr>
            </w:pPr>
            <w:r w:rsidRPr="00195BD8">
              <w:rPr>
                <w:rFonts w:ascii="Times New Roman" w:hAnsi="Times New Roman" w:cs="Times New Roman"/>
                <w:lang w:eastAsia="lv-LV"/>
              </w:rPr>
              <w:t>4 932 713</w:t>
            </w:r>
          </w:p>
        </w:tc>
        <w:tc>
          <w:tcPr>
            <w:tcW w:w="1701"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5 665 676</w:t>
            </w:r>
          </w:p>
        </w:tc>
        <w:tc>
          <w:tcPr>
            <w:tcW w:w="1559"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5 665 676</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1.2.</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maksas pakalpojumi un citi pašu ieņēmumi</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1.3.</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ārvalstu finanšu palīdzība</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6 297</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93 206</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93 206</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1.4.</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ziedojumi un dāvinājumi</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2.</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Izdevumi (kopā)</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4 678 999</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5 758 882</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5 520 047</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2.1.</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uzturēšanas izdevumi (kopā)</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4 372 730</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4 908 353</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4 682 030</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2.1.1.</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kārtējie izdevumi</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3 781 672</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4 194 987</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4 070 510</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2.1.2.</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procentu izdevumi</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2.1.3.</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subsīdijas, dotācijas un sociālie pabalsti</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576 980</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612 398</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510 553</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2.1.4.</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kārtējie maksājumi Eiropas Kopienas budžetā un starptautiskā sadarbība</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7 781</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7 762</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7 761</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2.1.5.</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uzturēšanas izdevumu transferti</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6 297</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93 206</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93 206</w:t>
            </w:r>
          </w:p>
        </w:tc>
      </w:tr>
      <w:tr w:rsidR="00D76A39" w:rsidRPr="0076333A" w:rsidTr="00D76A39">
        <w:tc>
          <w:tcPr>
            <w:tcW w:w="1101" w:type="dxa"/>
            <w:vAlign w:val="center"/>
          </w:tcPr>
          <w:p w:rsidR="00D76A39" w:rsidRPr="0076333A" w:rsidRDefault="00D76A39" w:rsidP="006C79D7">
            <w:pPr>
              <w:pStyle w:val="Default"/>
              <w:spacing w:line="276" w:lineRule="auto"/>
              <w:jc w:val="center"/>
              <w:rPr>
                <w:color w:val="auto"/>
              </w:rPr>
            </w:pPr>
            <w:r>
              <w:rPr>
                <w:color w:val="auto"/>
              </w:rPr>
              <w:t>2.2.</w:t>
            </w:r>
          </w:p>
        </w:tc>
        <w:tc>
          <w:tcPr>
            <w:tcW w:w="2976" w:type="dxa"/>
          </w:tcPr>
          <w:p w:rsidR="00D76A39" w:rsidRPr="00C41916" w:rsidRDefault="00D76A39" w:rsidP="006C79D7">
            <w:pPr>
              <w:spacing w:line="276" w:lineRule="auto"/>
              <w:rPr>
                <w:rFonts w:ascii="Times New Roman" w:eastAsia="Times New Roman" w:hAnsi="Times New Roman" w:cs="Times New Roman"/>
                <w:sz w:val="24"/>
                <w:szCs w:val="24"/>
                <w:lang w:eastAsia="lv-LV"/>
              </w:rPr>
            </w:pPr>
            <w:r w:rsidRPr="00C41916">
              <w:rPr>
                <w:rFonts w:ascii="Times New Roman" w:eastAsia="Times New Roman" w:hAnsi="Times New Roman" w:cs="Times New Roman"/>
                <w:sz w:val="24"/>
                <w:szCs w:val="24"/>
                <w:lang w:eastAsia="lv-LV"/>
              </w:rPr>
              <w:t>izdevumi kapitālieguldījumiem</w:t>
            </w:r>
          </w:p>
        </w:tc>
        <w:tc>
          <w:tcPr>
            <w:tcW w:w="1985"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306 269</w:t>
            </w:r>
          </w:p>
        </w:tc>
        <w:tc>
          <w:tcPr>
            <w:tcW w:w="1701"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850 529</w:t>
            </w:r>
          </w:p>
        </w:tc>
        <w:tc>
          <w:tcPr>
            <w:tcW w:w="1559" w:type="dxa"/>
            <w:vAlign w:val="center"/>
          </w:tcPr>
          <w:p w:rsidR="00D76A39" w:rsidRPr="00D76A39" w:rsidRDefault="00D76A39" w:rsidP="006C79D7">
            <w:pPr>
              <w:spacing w:line="276" w:lineRule="auto"/>
              <w:jc w:val="center"/>
              <w:rPr>
                <w:rFonts w:ascii="Times New Roman" w:hAnsi="Times New Roman" w:cs="Times New Roman"/>
                <w:sz w:val="24"/>
                <w:szCs w:val="24"/>
                <w:lang w:eastAsia="lv-LV"/>
              </w:rPr>
            </w:pPr>
            <w:r w:rsidRPr="00D76A39">
              <w:rPr>
                <w:rFonts w:ascii="Times New Roman" w:hAnsi="Times New Roman" w:cs="Times New Roman"/>
                <w:sz w:val="24"/>
                <w:szCs w:val="24"/>
                <w:lang w:eastAsia="lv-LV"/>
              </w:rPr>
              <w:t>838 017</w:t>
            </w:r>
          </w:p>
        </w:tc>
      </w:tr>
      <w:tr w:rsidR="00195BD8" w:rsidRPr="0076333A" w:rsidTr="00D76A39">
        <w:tc>
          <w:tcPr>
            <w:tcW w:w="1101" w:type="dxa"/>
            <w:vAlign w:val="center"/>
          </w:tcPr>
          <w:p w:rsidR="00195BD8" w:rsidRDefault="00195BD8" w:rsidP="006C79D7">
            <w:pPr>
              <w:pStyle w:val="Default"/>
              <w:spacing w:line="276" w:lineRule="auto"/>
              <w:jc w:val="center"/>
              <w:rPr>
                <w:color w:val="auto"/>
              </w:rPr>
            </w:pPr>
            <w:r>
              <w:rPr>
                <w:color w:val="auto"/>
              </w:rPr>
              <w:t>3.</w:t>
            </w:r>
          </w:p>
        </w:tc>
        <w:tc>
          <w:tcPr>
            <w:tcW w:w="2976" w:type="dxa"/>
          </w:tcPr>
          <w:p w:rsidR="00195BD8" w:rsidRPr="00C41916" w:rsidRDefault="00195BD8" w:rsidP="006C79D7">
            <w:pPr>
              <w:spacing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Finansiālā bilance</w:t>
            </w:r>
          </w:p>
        </w:tc>
        <w:tc>
          <w:tcPr>
            <w:tcW w:w="1985"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-3 894</w:t>
            </w:r>
          </w:p>
        </w:tc>
        <w:tc>
          <w:tcPr>
            <w:tcW w:w="1701"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0</w:t>
            </w:r>
          </w:p>
        </w:tc>
        <w:tc>
          <w:tcPr>
            <w:tcW w:w="1559"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238 835</w:t>
            </w:r>
          </w:p>
        </w:tc>
      </w:tr>
      <w:tr w:rsidR="00195BD8" w:rsidRPr="0076333A" w:rsidTr="00D76A39">
        <w:tc>
          <w:tcPr>
            <w:tcW w:w="1101" w:type="dxa"/>
            <w:vAlign w:val="center"/>
          </w:tcPr>
          <w:p w:rsidR="00195BD8" w:rsidRDefault="00195BD8" w:rsidP="006C79D7">
            <w:pPr>
              <w:pStyle w:val="Default"/>
              <w:spacing w:line="276" w:lineRule="auto"/>
              <w:jc w:val="center"/>
              <w:rPr>
                <w:color w:val="auto"/>
              </w:rPr>
            </w:pPr>
            <w:r>
              <w:rPr>
                <w:color w:val="auto"/>
              </w:rPr>
              <w:t>3.1.</w:t>
            </w:r>
          </w:p>
        </w:tc>
        <w:tc>
          <w:tcPr>
            <w:tcW w:w="2976" w:type="dxa"/>
          </w:tcPr>
          <w:p w:rsidR="00195BD8" w:rsidRPr="00C41916" w:rsidRDefault="00195BD8" w:rsidP="006C79D7">
            <w:pPr>
              <w:spacing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ārvalstu finanšu palīdzības naudas līdzekļu atlikumu izmaiņas (samazinājums)</w:t>
            </w:r>
          </w:p>
        </w:tc>
        <w:tc>
          <w:tcPr>
            <w:tcW w:w="1985"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3 894</w:t>
            </w:r>
          </w:p>
        </w:tc>
        <w:tc>
          <w:tcPr>
            <w:tcW w:w="1701"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w:t>
            </w:r>
          </w:p>
        </w:tc>
        <w:tc>
          <w:tcPr>
            <w:tcW w:w="1559" w:type="dxa"/>
            <w:vAlign w:val="center"/>
          </w:tcPr>
          <w:p w:rsidR="00195BD8" w:rsidRPr="00D76A39" w:rsidRDefault="00195BD8" w:rsidP="006C79D7">
            <w:pPr>
              <w:spacing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w:t>
            </w:r>
          </w:p>
        </w:tc>
      </w:tr>
    </w:tbl>
    <w:p w:rsidR="005C7C99" w:rsidRPr="00C41916" w:rsidRDefault="005C7C99" w:rsidP="006C79D7"/>
    <w:p w:rsidR="005C7C99" w:rsidRPr="00C41916" w:rsidRDefault="005C7C99" w:rsidP="006C79D7"/>
    <w:p w:rsidR="005C7C99" w:rsidRPr="00C41916" w:rsidRDefault="005C7C99" w:rsidP="006C79D7"/>
    <w:p w:rsidR="00753B0E" w:rsidRDefault="00753B0E" w:rsidP="006C79D7">
      <w:pPr>
        <w:rPr>
          <w:rFonts w:ascii="Times New Roman" w:eastAsia="Times New Roman" w:hAnsi="Times New Roman" w:cs="Times New Roman"/>
          <w:b/>
          <w:bCs/>
          <w:kern w:val="28"/>
          <w:sz w:val="28"/>
          <w:szCs w:val="32"/>
          <w:lang w:eastAsia="lv-LV"/>
        </w:rPr>
      </w:pPr>
      <w:r>
        <w:rPr>
          <w:lang w:eastAsia="lv-LV"/>
        </w:rPr>
        <w:br w:type="page"/>
      </w:r>
    </w:p>
    <w:p w:rsidR="005C7C99" w:rsidRPr="00F24C19" w:rsidRDefault="0052015E" w:rsidP="00F24C19">
      <w:pPr>
        <w:pStyle w:val="Heading2"/>
        <w:spacing w:before="0"/>
        <w:rPr>
          <w:sz w:val="28"/>
          <w:szCs w:val="28"/>
          <w:lang w:eastAsia="lv-LV"/>
        </w:rPr>
      </w:pPr>
      <w:bookmarkStart w:id="70" w:name="_Toc505249175"/>
      <w:r w:rsidRPr="00F24C19">
        <w:rPr>
          <w:sz w:val="28"/>
          <w:szCs w:val="28"/>
          <w:lang w:eastAsia="lv-LV"/>
        </w:rPr>
        <w:lastRenderedPageBreak/>
        <w:t>8. </w:t>
      </w:r>
      <w:bookmarkStart w:id="71" w:name="_Toc474219926"/>
      <w:bookmarkStart w:id="72" w:name="_Toc474220930"/>
      <w:bookmarkStart w:id="73" w:name="_Toc474410937"/>
      <w:r w:rsidR="005C7C99" w:rsidRPr="00F24C19">
        <w:rPr>
          <w:sz w:val="28"/>
          <w:szCs w:val="28"/>
          <w:lang w:eastAsia="lv-LV"/>
        </w:rPr>
        <w:t>Biroja darbības prioritātes</w:t>
      </w:r>
      <w:bookmarkEnd w:id="71"/>
      <w:bookmarkEnd w:id="72"/>
      <w:bookmarkEnd w:id="73"/>
      <w:r w:rsidR="005C7C99" w:rsidRPr="00F24C19">
        <w:rPr>
          <w:sz w:val="28"/>
          <w:szCs w:val="28"/>
          <w:lang w:eastAsia="lv-LV"/>
        </w:rPr>
        <w:t xml:space="preserve"> 201</w:t>
      </w:r>
      <w:r w:rsidRPr="00F24C19">
        <w:rPr>
          <w:sz w:val="28"/>
          <w:szCs w:val="28"/>
          <w:lang w:eastAsia="lv-LV"/>
        </w:rPr>
        <w:t>8</w:t>
      </w:r>
      <w:r w:rsidR="005C7C99" w:rsidRPr="00F24C19">
        <w:rPr>
          <w:sz w:val="28"/>
          <w:szCs w:val="28"/>
          <w:lang w:eastAsia="lv-LV"/>
        </w:rPr>
        <w:t>.gadam</w:t>
      </w:r>
      <w:bookmarkEnd w:id="70"/>
    </w:p>
    <w:p w:rsidR="00753B0E" w:rsidRDefault="00753B0E" w:rsidP="006C79D7">
      <w:pPr>
        <w:spacing w:after="0"/>
        <w:ind w:firstLine="567"/>
        <w:jc w:val="both"/>
        <w:rPr>
          <w:rFonts w:ascii="Times New Roman" w:hAnsi="Times New Roman" w:cs="Times New Roman"/>
          <w:sz w:val="24"/>
          <w:szCs w:val="24"/>
        </w:rPr>
      </w:pPr>
    </w:p>
    <w:p w:rsidR="00014C0B" w:rsidRPr="00014C0B" w:rsidRDefault="00014C0B" w:rsidP="00014C0B">
      <w:pPr>
        <w:spacing w:after="0"/>
        <w:ind w:firstLine="709"/>
        <w:jc w:val="both"/>
        <w:rPr>
          <w:rFonts w:ascii="Times New Roman" w:hAnsi="Times New Roman" w:cs="Times New Roman"/>
          <w:sz w:val="24"/>
          <w:szCs w:val="24"/>
        </w:rPr>
      </w:pPr>
      <w:r w:rsidRPr="00014C0B">
        <w:rPr>
          <w:rFonts w:ascii="Times New Roman" w:hAnsi="Times New Roman" w:cs="Times New Roman"/>
          <w:sz w:val="24"/>
          <w:szCs w:val="24"/>
        </w:rPr>
        <w:t>Biroja darbības stratēģijā 2018.–2019.gadam</w:t>
      </w:r>
      <w:r>
        <w:rPr>
          <w:rStyle w:val="FootnoteReference"/>
          <w:rFonts w:ascii="Times New Roman" w:hAnsi="Times New Roman" w:cs="Times New Roman"/>
          <w:sz w:val="24"/>
          <w:szCs w:val="24"/>
        </w:rPr>
        <w:footnoteReference w:id="4"/>
      </w:r>
      <w:r w:rsidRPr="00014C0B">
        <w:rPr>
          <w:rFonts w:ascii="Times New Roman" w:hAnsi="Times New Roman" w:cs="Times New Roman"/>
          <w:sz w:val="24"/>
          <w:szCs w:val="24"/>
        </w:rPr>
        <w:t xml:space="preserve"> Birojs ir noteicis prioritārās jomas turpmākajiem diviem gadiem, norādot, ka</w:t>
      </w:r>
      <w:r w:rsidR="00791F5C">
        <w:rPr>
          <w:rFonts w:ascii="Times New Roman" w:hAnsi="Times New Roman" w:cs="Times New Roman"/>
          <w:sz w:val="24"/>
          <w:szCs w:val="24"/>
        </w:rPr>
        <w:t xml:space="preserve"> Birojs</w:t>
      </w:r>
      <w:r w:rsidRPr="00014C0B">
        <w:rPr>
          <w:rFonts w:ascii="Times New Roman" w:hAnsi="Times New Roman" w:cs="Times New Roman"/>
          <w:sz w:val="24"/>
          <w:szCs w:val="24"/>
        </w:rPr>
        <w:t>, stiprinot analītisko kapacitāti un resursus, mērķtiecīgi</w:t>
      </w:r>
      <w:r w:rsidR="00791F5C">
        <w:rPr>
          <w:rFonts w:ascii="Times New Roman" w:hAnsi="Times New Roman" w:cs="Times New Roman"/>
          <w:sz w:val="24"/>
          <w:szCs w:val="24"/>
        </w:rPr>
        <w:t xml:space="preserve"> </w:t>
      </w:r>
      <w:r w:rsidRPr="00014C0B">
        <w:rPr>
          <w:rFonts w:ascii="Times New Roman" w:hAnsi="Times New Roman" w:cs="Times New Roman"/>
          <w:sz w:val="24"/>
          <w:szCs w:val="24"/>
        </w:rPr>
        <w:t xml:space="preserve">koncentrēsies uz korupcijas risku identificēšanu un novēršanu, </w:t>
      </w:r>
      <w:proofErr w:type="spellStart"/>
      <w:r w:rsidRPr="00014C0B">
        <w:rPr>
          <w:rFonts w:ascii="Times New Roman" w:hAnsi="Times New Roman" w:cs="Times New Roman"/>
          <w:sz w:val="24"/>
          <w:szCs w:val="24"/>
        </w:rPr>
        <w:t>koruptīvu</w:t>
      </w:r>
      <w:proofErr w:type="spellEnd"/>
      <w:r w:rsidRPr="00014C0B">
        <w:rPr>
          <w:rFonts w:ascii="Times New Roman" w:hAnsi="Times New Roman" w:cs="Times New Roman"/>
          <w:sz w:val="24"/>
          <w:szCs w:val="24"/>
        </w:rPr>
        <w:t xml:space="preserve"> attiecību atklāšanu un sagraušanu prioritārajās jomās. </w:t>
      </w:r>
    </w:p>
    <w:p w:rsidR="00014C0B" w:rsidRDefault="00014C0B" w:rsidP="00014C0B">
      <w:pPr>
        <w:spacing w:after="0"/>
        <w:ind w:firstLine="709"/>
        <w:jc w:val="both"/>
        <w:rPr>
          <w:rFonts w:ascii="Times New Roman" w:hAnsi="Times New Roman" w:cs="Times New Roman"/>
          <w:sz w:val="24"/>
          <w:szCs w:val="24"/>
        </w:rPr>
      </w:pPr>
      <w:r w:rsidRPr="00014C0B">
        <w:rPr>
          <w:rFonts w:ascii="Times New Roman" w:hAnsi="Times New Roman" w:cs="Times New Roman"/>
          <w:sz w:val="24"/>
          <w:szCs w:val="24"/>
        </w:rPr>
        <w:t>Biroja resursi tiks koncentrēti šādu prioritāro uzdevumu veikšanai:</w:t>
      </w:r>
    </w:p>
    <w:p w:rsidR="001051DF" w:rsidRPr="00E06A95" w:rsidRDefault="001051DF" w:rsidP="006C79D7">
      <w:pPr>
        <w:pStyle w:val="ListParagraph"/>
        <w:numPr>
          <w:ilvl w:val="0"/>
          <w:numId w:val="17"/>
        </w:numPr>
        <w:tabs>
          <w:tab w:val="left" w:pos="993"/>
        </w:tabs>
        <w:spacing w:after="0"/>
        <w:ind w:left="0" w:firstLine="709"/>
        <w:jc w:val="both"/>
        <w:rPr>
          <w:rFonts w:ascii="Times New Roman" w:hAnsi="Times New Roman" w:cs="Times New Roman"/>
          <w:bCs/>
          <w:sz w:val="24"/>
          <w:szCs w:val="24"/>
        </w:rPr>
      </w:pPr>
      <w:r w:rsidRPr="00E06A95">
        <w:rPr>
          <w:rFonts w:ascii="Times New Roman" w:hAnsi="Times New Roman" w:cs="Times New Roman"/>
          <w:sz w:val="24"/>
          <w:szCs w:val="24"/>
        </w:rPr>
        <w:t xml:space="preserve">Mazināt </w:t>
      </w:r>
      <w:r w:rsidRPr="00E06A95">
        <w:rPr>
          <w:rFonts w:ascii="Times New Roman" w:hAnsi="Times New Roman" w:cs="Times New Roman"/>
          <w:bCs/>
          <w:sz w:val="24"/>
          <w:szCs w:val="24"/>
        </w:rPr>
        <w:t xml:space="preserve">valsts amatpersonu prettiesiskas rīcības ar publiskas personas mantu un finanšu līdzekļiem iespējamību, kā arī izskaust </w:t>
      </w:r>
      <w:proofErr w:type="spellStart"/>
      <w:r w:rsidRPr="00E06A95">
        <w:rPr>
          <w:rFonts w:ascii="Times New Roman" w:hAnsi="Times New Roman" w:cs="Times New Roman"/>
          <w:bCs/>
          <w:sz w:val="24"/>
          <w:szCs w:val="24"/>
        </w:rPr>
        <w:t>koruptīvus</w:t>
      </w:r>
      <w:proofErr w:type="spellEnd"/>
      <w:r w:rsidRPr="00E06A95">
        <w:rPr>
          <w:rFonts w:ascii="Times New Roman" w:hAnsi="Times New Roman" w:cs="Times New Roman"/>
          <w:bCs/>
          <w:sz w:val="24"/>
          <w:szCs w:val="24"/>
        </w:rPr>
        <w:t xml:space="preserve"> noziedzīgus nodarījumus publiskas personas institūcijās, veicot mērķtiecīgas darbības šādās prioritārajās jomās:</w:t>
      </w:r>
    </w:p>
    <w:p w:rsidR="00E06A95" w:rsidRDefault="00E06A95" w:rsidP="006C79D7">
      <w:pPr>
        <w:pStyle w:val="ListParagraph"/>
        <w:numPr>
          <w:ilvl w:val="1"/>
          <w:numId w:val="18"/>
        </w:numPr>
        <w:tabs>
          <w:tab w:val="left" w:pos="1134"/>
        </w:tabs>
        <w:spacing w:after="0"/>
        <w:ind w:firstLine="34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06A95">
        <w:rPr>
          <w:rFonts w:ascii="Times New Roman" w:hAnsi="Times New Roman" w:cs="Times New Roman"/>
          <w:bCs/>
          <w:sz w:val="24"/>
          <w:szCs w:val="24"/>
        </w:rPr>
        <w:t>tiesu varas institūcijās;</w:t>
      </w:r>
    </w:p>
    <w:p w:rsidR="00E06A95" w:rsidRPr="00E06A95" w:rsidRDefault="00E06A95" w:rsidP="006C79D7">
      <w:pPr>
        <w:pStyle w:val="ListParagraph"/>
        <w:numPr>
          <w:ilvl w:val="1"/>
          <w:numId w:val="18"/>
        </w:numPr>
        <w:tabs>
          <w:tab w:val="left" w:pos="1134"/>
        </w:tabs>
        <w:spacing w:after="0"/>
        <w:ind w:firstLine="349"/>
        <w:jc w:val="both"/>
        <w:rPr>
          <w:rFonts w:ascii="Times New Roman" w:hAnsi="Times New Roman" w:cs="Times New Roman"/>
          <w:bCs/>
          <w:sz w:val="24"/>
          <w:szCs w:val="24"/>
        </w:rPr>
      </w:pPr>
      <w:r>
        <w:rPr>
          <w:rFonts w:ascii="Times New Roman" w:hAnsi="Times New Roman" w:cs="Times New Roman"/>
          <w:sz w:val="24"/>
          <w:szCs w:val="24"/>
        </w:rPr>
        <w:t xml:space="preserve"> </w:t>
      </w:r>
      <w:r w:rsidRPr="00753B0E">
        <w:rPr>
          <w:rFonts w:ascii="Times New Roman" w:hAnsi="Times New Roman" w:cs="Times New Roman"/>
          <w:sz w:val="24"/>
          <w:szCs w:val="24"/>
        </w:rPr>
        <w:t>publiskajos iepirkumos:</w:t>
      </w:r>
    </w:p>
    <w:p w:rsidR="00E06A95" w:rsidRPr="00E06A95" w:rsidRDefault="00E06A95" w:rsidP="006C79D7">
      <w:pPr>
        <w:pStyle w:val="ListParagraph"/>
        <w:numPr>
          <w:ilvl w:val="0"/>
          <w:numId w:val="19"/>
        </w:numPr>
        <w:tabs>
          <w:tab w:val="left" w:pos="1560"/>
        </w:tabs>
        <w:ind w:firstLine="556"/>
        <w:rPr>
          <w:rFonts w:ascii="Times New Roman" w:hAnsi="Times New Roman" w:cs="Times New Roman"/>
          <w:bCs/>
          <w:sz w:val="24"/>
          <w:szCs w:val="24"/>
        </w:rPr>
      </w:pPr>
      <w:r w:rsidRPr="00E06A95">
        <w:rPr>
          <w:rFonts w:ascii="Times New Roman" w:hAnsi="Times New Roman" w:cs="Times New Roman"/>
          <w:bCs/>
          <w:sz w:val="24"/>
          <w:szCs w:val="24"/>
        </w:rPr>
        <w:t>Eiropas Savienības finansētajos projektos;</w:t>
      </w:r>
    </w:p>
    <w:p w:rsidR="00E06A95" w:rsidRPr="00E06A95" w:rsidRDefault="00E06A95" w:rsidP="006C79D7">
      <w:pPr>
        <w:pStyle w:val="ListParagraph"/>
        <w:numPr>
          <w:ilvl w:val="0"/>
          <w:numId w:val="19"/>
        </w:numPr>
        <w:tabs>
          <w:tab w:val="left" w:pos="1560"/>
        </w:tabs>
        <w:spacing w:after="0"/>
        <w:ind w:firstLine="556"/>
        <w:jc w:val="both"/>
        <w:rPr>
          <w:rFonts w:ascii="Times New Roman" w:hAnsi="Times New Roman" w:cs="Times New Roman"/>
          <w:bCs/>
          <w:sz w:val="24"/>
          <w:szCs w:val="24"/>
        </w:rPr>
      </w:pPr>
      <w:r w:rsidRPr="00753B0E">
        <w:rPr>
          <w:rFonts w:ascii="Times New Roman" w:hAnsi="Times New Roman" w:cs="Times New Roman"/>
          <w:sz w:val="24"/>
          <w:szCs w:val="24"/>
        </w:rPr>
        <w:t>veselības nozarē</w:t>
      </w:r>
      <w:r>
        <w:rPr>
          <w:rFonts w:ascii="Times New Roman" w:hAnsi="Times New Roman" w:cs="Times New Roman"/>
          <w:sz w:val="24"/>
          <w:szCs w:val="24"/>
        </w:rPr>
        <w:t>;</w:t>
      </w:r>
    </w:p>
    <w:p w:rsidR="00E06A95" w:rsidRPr="00E06A95" w:rsidRDefault="00E06A95" w:rsidP="006C79D7">
      <w:pPr>
        <w:pStyle w:val="ListParagraph"/>
        <w:numPr>
          <w:ilvl w:val="0"/>
          <w:numId w:val="19"/>
        </w:numPr>
        <w:tabs>
          <w:tab w:val="left" w:pos="1560"/>
        </w:tabs>
        <w:spacing w:after="0"/>
        <w:ind w:firstLine="556"/>
        <w:jc w:val="both"/>
        <w:rPr>
          <w:rFonts w:ascii="Times New Roman" w:hAnsi="Times New Roman" w:cs="Times New Roman"/>
          <w:bCs/>
          <w:sz w:val="24"/>
          <w:szCs w:val="24"/>
        </w:rPr>
      </w:pPr>
      <w:r w:rsidRPr="00753B0E">
        <w:rPr>
          <w:rFonts w:ascii="Times New Roman" w:hAnsi="Times New Roman" w:cs="Times New Roman"/>
          <w:sz w:val="24"/>
          <w:szCs w:val="24"/>
        </w:rPr>
        <w:t>būvniecības nozarē</w:t>
      </w:r>
      <w:r>
        <w:rPr>
          <w:rFonts w:ascii="Times New Roman" w:hAnsi="Times New Roman" w:cs="Times New Roman"/>
          <w:sz w:val="24"/>
          <w:szCs w:val="24"/>
        </w:rPr>
        <w:t>;</w:t>
      </w:r>
    </w:p>
    <w:p w:rsidR="00E06A95" w:rsidRPr="00E06A95" w:rsidRDefault="00E06A95" w:rsidP="006C79D7">
      <w:pPr>
        <w:pStyle w:val="ListParagraph"/>
        <w:numPr>
          <w:ilvl w:val="0"/>
          <w:numId w:val="19"/>
        </w:numPr>
        <w:tabs>
          <w:tab w:val="left" w:pos="1560"/>
        </w:tabs>
        <w:spacing w:after="0"/>
        <w:ind w:firstLine="556"/>
        <w:jc w:val="both"/>
        <w:rPr>
          <w:rFonts w:ascii="Times New Roman" w:hAnsi="Times New Roman" w:cs="Times New Roman"/>
          <w:bCs/>
          <w:sz w:val="24"/>
          <w:szCs w:val="24"/>
        </w:rPr>
      </w:pPr>
      <w:r w:rsidRPr="00753B0E">
        <w:rPr>
          <w:rFonts w:ascii="Times New Roman" w:hAnsi="Times New Roman" w:cs="Times New Roman"/>
          <w:sz w:val="24"/>
          <w:szCs w:val="24"/>
        </w:rPr>
        <w:t>Latvijas lielākajās pašvaldībās</w:t>
      </w:r>
      <w:r>
        <w:rPr>
          <w:rFonts w:ascii="Times New Roman" w:hAnsi="Times New Roman" w:cs="Times New Roman"/>
          <w:sz w:val="24"/>
          <w:szCs w:val="24"/>
        </w:rPr>
        <w:t>.</w:t>
      </w:r>
    </w:p>
    <w:p w:rsidR="001051DF" w:rsidRPr="00E06A95" w:rsidRDefault="001051DF" w:rsidP="006C79D7">
      <w:pPr>
        <w:pStyle w:val="ListParagraph"/>
        <w:numPr>
          <w:ilvl w:val="0"/>
          <w:numId w:val="18"/>
        </w:numPr>
        <w:tabs>
          <w:tab w:val="left" w:pos="993"/>
        </w:tabs>
        <w:spacing w:after="0"/>
        <w:ind w:left="0" w:firstLine="709"/>
        <w:jc w:val="both"/>
        <w:rPr>
          <w:rFonts w:ascii="Times New Roman" w:hAnsi="Times New Roman" w:cs="Times New Roman"/>
          <w:sz w:val="24"/>
          <w:szCs w:val="24"/>
        </w:rPr>
      </w:pPr>
      <w:r w:rsidRPr="00E06A95">
        <w:rPr>
          <w:rFonts w:ascii="Times New Roman" w:hAnsi="Times New Roman" w:cs="Times New Roman"/>
          <w:sz w:val="24"/>
          <w:szCs w:val="24"/>
        </w:rPr>
        <w:t>Pilnveidot politisko partiju finansēšanas un priekšvēlēšanu aģitācijas likumības uzraudzības ietvaru un apkarot politisko organizāciju nelikumīgu finansēšanu lielā apmērā ar mērķi mazināt naudas lomu politikā.</w:t>
      </w:r>
    </w:p>
    <w:p w:rsidR="001051DF" w:rsidRPr="00E06A95" w:rsidRDefault="001051DF" w:rsidP="006C79D7">
      <w:pPr>
        <w:pStyle w:val="ListParagraph"/>
        <w:numPr>
          <w:ilvl w:val="0"/>
          <w:numId w:val="18"/>
        </w:numPr>
        <w:tabs>
          <w:tab w:val="left" w:pos="993"/>
          <w:tab w:val="left" w:pos="1843"/>
        </w:tabs>
        <w:spacing w:after="0"/>
        <w:ind w:left="0" w:firstLine="709"/>
        <w:jc w:val="both"/>
        <w:rPr>
          <w:rFonts w:ascii="Times New Roman" w:hAnsi="Times New Roman" w:cs="Times New Roman"/>
          <w:b/>
          <w:sz w:val="24"/>
          <w:szCs w:val="24"/>
        </w:rPr>
      </w:pPr>
      <w:r w:rsidRPr="00E06A95">
        <w:rPr>
          <w:rFonts w:ascii="Times New Roman" w:hAnsi="Times New Roman" w:cs="Times New Roman"/>
          <w:sz w:val="24"/>
          <w:szCs w:val="24"/>
        </w:rPr>
        <w:t xml:space="preserve">Stiprināt Biroja analītisko kapacitāti, nodrošināt Biroja amatpersonu kvalifikācijas celšanu, kā arī turpināt risināt jautājumus par Biroja amatpersonu atlīdzības paaugstināšanu un sociālo garantiju uzlabošanu, lai nodrošinātu Birojā nodarbinātajiem konkurētspējīgu atalgojumu. </w:t>
      </w:r>
    </w:p>
    <w:p w:rsidR="005C7C99" w:rsidRDefault="005C7C99" w:rsidP="006C79D7">
      <w:pPr>
        <w:spacing w:after="0"/>
        <w:jc w:val="both"/>
        <w:rPr>
          <w:rFonts w:ascii="Times New Roman" w:hAnsi="Times New Roman" w:cs="Times New Roman"/>
          <w:sz w:val="24"/>
          <w:szCs w:val="24"/>
        </w:rPr>
      </w:pPr>
    </w:p>
    <w:p w:rsidR="007212A9" w:rsidRPr="00703B94" w:rsidRDefault="007212A9" w:rsidP="007212A9">
      <w:pPr>
        <w:spacing w:after="0"/>
        <w:jc w:val="center"/>
        <w:rPr>
          <w:rFonts w:ascii="Times New Roman" w:hAnsi="Times New Roman" w:cs="Times New Roman"/>
          <w:b/>
          <w:i/>
          <w:sz w:val="28"/>
          <w:szCs w:val="28"/>
        </w:rPr>
      </w:pPr>
      <w:r w:rsidRPr="00703B94">
        <w:rPr>
          <w:rFonts w:ascii="Times New Roman" w:hAnsi="Times New Roman" w:cs="Times New Roman"/>
          <w:b/>
          <w:i/>
          <w:sz w:val="28"/>
          <w:szCs w:val="28"/>
        </w:rPr>
        <w:t>GODS PĀR VARU!</w:t>
      </w:r>
    </w:p>
    <w:p w:rsidR="007212A9" w:rsidRDefault="007212A9" w:rsidP="006C79D7">
      <w:pPr>
        <w:spacing w:after="0"/>
        <w:jc w:val="both"/>
        <w:rPr>
          <w:rFonts w:ascii="Times New Roman" w:hAnsi="Times New Roman" w:cs="Times New Roman"/>
          <w:sz w:val="24"/>
          <w:szCs w:val="24"/>
        </w:rPr>
      </w:pPr>
    </w:p>
    <w:p w:rsidR="007212A9" w:rsidRDefault="007212A9" w:rsidP="006C79D7">
      <w:pPr>
        <w:spacing w:after="0"/>
        <w:jc w:val="both"/>
        <w:rPr>
          <w:rFonts w:ascii="Times New Roman" w:hAnsi="Times New Roman" w:cs="Times New Roman"/>
          <w:sz w:val="24"/>
          <w:szCs w:val="24"/>
        </w:rPr>
      </w:pPr>
    </w:p>
    <w:p w:rsidR="00703B94" w:rsidRDefault="00703B94" w:rsidP="006C79D7">
      <w:pPr>
        <w:spacing w:after="0"/>
        <w:jc w:val="both"/>
        <w:rPr>
          <w:rFonts w:ascii="Times New Roman" w:hAnsi="Times New Roman" w:cs="Times New Roman"/>
          <w:sz w:val="24"/>
          <w:szCs w:val="24"/>
        </w:rPr>
      </w:pPr>
    </w:p>
    <w:p w:rsidR="003C1E62" w:rsidRDefault="005C7C99" w:rsidP="006C79D7">
      <w:pPr>
        <w:spacing w:after="0"/>
        <w:jc w:val="both"/>
        <w:rPr>
          <w:rFonts w:ascii="Times New Roman" w:hAnsi="Times New Roman" w:cs="Times New Roman"/>
          <w:sz w:val="24"/>
          <w:szCs w:val="24"/>
        </w:rPr>
      </w:pPr>
      <w:r w:rsidRPr="00C41916">
        <w:rPr>
          <w:rFonts w:ascii="Times New Roman" w:hAnsi="Times New Roman" w:cs="Times New Roman"/>
          <w:sz w:val="24"/>
          <w:szCs w:val="24"/>
        </w:rPr>
        <w:t xml:space="preserve">Korupcijas novēršanas un </w:t>
      </w:r>
    </w:p>
    <w:p w:rsidR="005C7C99" w:rsidRPr="00C41916" w:rsidRDefault="005C7C99" w:rsidP="006C79D7">
      <w:pPr>
        <w:spacing w:after="0"/>
        <w:jc w:val="both"/>
        <w:rPr>
          <w:rFonts w:ascii="Times New Roman" w:hAnsi="Times New Roman" w:cs="Times New Roman"/>
          <w:sz w:val="24"/>
          <w:szCs w:val="24"/>
        </w:rPr>
      </w:pPr>
      <w:r w:rsidRPr="00C41916">
        <w:rPr>
          <w:rFonts w:ascii="Times New Roman" w:hAnsi="Times New Roman" w:cs="Times New Roman"/>
          <w:sz w:val="24"/>
          <w:szCs w:val="24"/>
        </w:rPr>
        <w:t xml:space="preserve">apkarošanas biroja </w:t>
      </w:r>
      <w:r w:rsidR="00753B0E">
        <w:rPr>
          <w:rFonts w:ascii="Times New Roman" w:hAnsi="Times New Roman" w:cs="Times New Roman"/>
          <w:sz w:val="24"/>
          <w:szCs w:val="24"/>
        </w:rPr>
        <w:t>priekšnieks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1916">
        <w:rPr>
          <w:rFonts w:ascii="Times New Roman" w:hAnsi="Times New Roman" w:cs="Times New Roman"/>
          <w:sz w:val="24"/>
          <w:szCs w:val="24"/>
        </w:rPr>
        <w:tab/>
      </w:r>
      <w:r w:rsidR="00753B0E">
        <w:rPr>
          <w:rFonts w:ascii="Times New Roman" w:hAnsi="Times New Roman" w:cs="Times New Roman"/>
          <w:sz w:val="24"/>
          <w:szCs w:val="24"/>
        </w:rPr>
        <w:tab/>
      </w:r>
      <w:r w:rsidR="006333D4">
        <w:rPr>
          <w:rFonts w:ascii="Times New Roman" w:hAnsi="Times New Roman" w:cs="Times New Roman"/>
          <w:sz w:val="24"/>
          <w:szCs w:val="24"/>
        </w:rPr>
        <w:t xml:space="preserve">   </w:t>
      </w:r>
      <w:r w:rsidR="00753B0E">
        <w:rPr>
          <w:rFonts w:ascii="Times New Roman" w:hAnsi="Times New Roman" w:cs="Times New Roman"/>
          <w:sz w:val="24"/>
          <w:szCs w:val="24"/>
        </w:rPr>
        <w:t>J</w:t>
      </w:r>
      <w:r w:rsidRPr="00C41916">
        <w:rPr>
          <w:rFonts w:ascii="Times New Roman" w:hAnsi="Times New Roman" w:cs="Times New Roman"/>
          <w:sz w:val="24"/>
          <w:szCs w:val="24"/>
        </w:rPr>
        <w:t>.</w:t>
      </w:r>
      <w:r w:rsidR="00753B0E">
        <w:rPr>
          <w:rFonts w:ascii="Times New Roman" w:hAnsi="Times New Roman" w:cs="Times New Roman"/>
          <w:sz w:val="24"/>
          <w:szCs w:val="24"/>
        </w:rPr>
        <w:t>Straume</w:t>
      </w:r>
    </w:p>
    <w:p w:rsidR="005C7C99" w:rsidRDefault="005C7C99" w:rsidP="006C79D7">
      <w:pPr>
        <w:spacing w:after="0"/>
        <w:jc w:val="both"/>
        <w:rPr>
          <w:rFonts w:ascii="Times New Roman" w:hAnsi="Times New Roman" w:cs="Times New Roman"/>
          <w:sz w:val="20"/>
          <w:szCs w:val="20"/>
        </w:rPr>
      </w:pPr>
    </w:p>
    <w:p w:rsidR="00753B0E" w:rsidRDefault="00753B0E" w:rsidP="006C79D7">
      <w:pPr>
        <w:spacing w:after="0"/>
        <w:jc w:val="both"/>
        <w:rPr>
          <w:rFonts w:ascii="Times New Roman" w:hAnsi="Times New Roman" w:cs="Times New Roman"/>
          <w:sz w:val="20"/>
          <w:szCs w:val="20"/>
        </w:rPr>
      </w:pPr>
    </w:p>
    <w:p w:rsidR="00753B0E" w:rsidRDefault="00753B0E" w:rsidP="006C79D7">
      <w:pPr>
        <w:spacing w:after="0"/>
        <w:jc w:val="both"/>
        <w:rPr>
          <w:rFonts w:ascii="Times New Roman" w:hAnsi="Times New Roman" w:cs="Times New Roman"/>
          <w:sz w:val="20"/>
          <w:szCs w:val="20"/>
        </w:rPr>
      </w:pPr>
    </w:p>
    <w:p w:rsidR="00753B0E" w:rsidRDefault="00753B0E" w:rsidP="006C79D7">
      <w:pPr>
        <w:spacing w:after="0"/>
        <w:jc w:val="both"/>
        <w:rPr>
          <w:rFonts w:ascii="Times New Roman" w:hAnsi="Times New Roman" w:cs="Times New Roman"/>
          <w:sz w:val="20"/>
          <w:szCs w:val="20"/>
        </w:rPr>
      </w:pPr>
    </w:p>
    <w:p w:rsidR="00753B0E" w:rsidRDefault="00753B0E" w:rsidP="006C79D7">
      <w:pPr>
        <w:spacing w:after="0"/>
        <w:jc w:val="both"/>
        <w:rPr>
          <w:rFonts w:ascii="Times New Roman" w:hAnsi="Times New Roman" w:cs="Times New Roman"/>
          <w:sz w:val="20"/>
          <w:szCs w:val="20"/>
        </w:rPr>
      </w:pPr>
    </w:p>
    <w:p w:rsidR="00753B0E" w:rsidRDefault="00753B0E" w:rsidP="006C79D7">
      <w:pPr>
        <w:spacing w:after="0"/>
        <w:jc w:val="both"/>
        <w:rPr>
          <w:rFonts w:ascii="Times New Roman" w:hAnsi="Times New Roman" w:cs="Times New Roman"/>
          <w:sz w:val="20"/>
          <w:szCs w:val="20"/>
        </w:rPr>
      </w:pPr>
    </w:p>
    <w:p w:rsidR="00753B0E" w:rsidRDefault="00753B0E" w:rsidP="006C79D7">
      <w:pPr>
        <w:spacing w:after="0"/>
        <w:jc w:val="both"/>
        <w:rPr>
          <w:rFonts w:ascii="Times New Roman" w:hAnsi="Times New Roman" w:cs="Times New Roman"/>
          <w:sz w:val="20"/>
          <w:szCs w:val="20"/>
        </w:rPr>
      </w:pPr>
    </w:p>
    <w:p w:rsidR="00E42E34" w:rsidRDefault="00E42E34" w:rsidP="006C79D7">
      <w:pPr>
        <w:spacing w:after="0"/>
        <w:jc w:val="both"/>
        <w:rPr>
          <w:rFonts w:ascii="Times New Roman" w:hAnsi="Times New Roman" w:cs="Times New Roman"/>
          <w:sz w:val="20"/>
          <w:szCs w:val="20"/>
        </w:rPr>
      </w:pPr>
    </w:p>
    <w:p w:rsidR="00FF2CCA" w:rsidRDefault="00FF2CCA" w:rsidP="006C79D7">
      <w:pPr>
        <w:spacing w:after="0"/>
        <w:jc w:val="both"/>
        <w:rPr>
          <w:rFonts w:ascii="Times New Roman" w:hAnsi="Times New Roman" w:cs="Times New Roman"/>
          <w:sz w:val="20"/>
          <w:szCs w:val="20"/>
        </w:rPr>
      </w:pPr>
    </w:p>
    <w:p w:rsidR="00753B0E" w:rsidRPr="00753B0E" w:rsidRDefault="00753B0E" w:rsidP="006C79D7">
      <w:pPr>
        <w:spacing w:after="0"/>
        <w:jc w:val="both"/>
        <w:rPr>
          <w:rFonts w:ascii="Times New Roman" w:hAnsi="Times New Roman" w:cs="Times New Roman"/>
          <w:sz w:val="18"/>
          <w:szCs w:val="18"/>
        </w:rPr>
      </w:pPr>
      <w:r w:rsidRPr="00753B0E">
        <w:rPr>
          <w:rFonts w:ascii="Times New Roman" w:hAnsi="Times New Roman" w:cs="Times New Roman"/>
          <w:sz w:val="18"/>
          <w:szCs w:val="18"/>
        </w:rPr>
        <w:t>Nr.126, 67797230</w:t>
      </w:r>
    </w:p>
    <w:p w:rsidR="00753B0E" w:rsidRPr="00753B0E" w:rsidRDefault="00CC7E5E" w:rsidP="006C79D7">
      <w:pPr>
        <w:spacing w:after="0"/>
        <w:jc w:val="both"/>
        <w:rPr>
          <w:rFonts w:ascii="Times New Roman" w:hAnsi="Times New Roman" w:cs="Times New Roman"/>
          <w:sz w:val="18"/>
          <w:szCs w:val="18"/>
        </w:rPr>
      </w:pPr>
      <w:hyperlink r:id="rId23" w:history="1">
        <w:r w:rsidR="00753B0E" w:rsidRPr="00753B0E">
          <w:rPr>
            <w:rStyle w:val="Hyperlink"/>
            <w:rFonts w:ascii="Times New Roman" w:hAnsi="Times New Roman" w:cs="Times New Roman"/>
            <w:sz w:val="18"/>
            <w:szCs w:val="18"/>
          </w:rPr>
          <w:t>126@knab.gov.lv</w:t>
        </w:r>
      </w:hyperlink>
    </w:p>
    <w:p w:rsidR="00753B0E" w:rsidRPr="00753B0E" w:rsidRDefault="00753B0E" w:rsidP="006C79D7">
      <w:pPr>
        <w:spacing w:after="0"/>
        <w:jc w:val="both"/>
        <w:rPr>
          <w:rFonts w:ascii="Times New Roman" w:hAnsi="Times New Roman" w:cs="Times New Roman"/>
          <w:sz w:val="18"/>
          <w:szCs w:val="18"/>
        </w:rPr>
      </w:pPr>
    </w:p>
    <w:p w:rsidR="00753B0E" w:rsidRPr="00753B0E" w:rsidRDefault="00753B0E" w:rsidP="006C79D7">
      <w:pPr>
        <w:spacing w:after="0"/>
        <w:jc w:val="both"/>
        <w:rPr>
          <w:rFonts w:ascii="Times New Roman" w:hAnsi="Times New Roman" w:cs="Times New Roman"/>
          <w:sz w:val="18"/>
          <w:szCs w:val="18"/>
        </w:rPr>
      </w:pPr>
      <w:r w:rsidRPr="00753B0E">
        <w:rPr>
          <w:rFonts w:ascii="Times New Roman" w:hAnsi="Times New Roman" w:cs="Times New Roman"/>
          <w:sz w:val="18"/>
          <w:szCs w:val="18"/>
        </w:rPr>
        <w:t>Nr.020, 67797276</w:t>
      </w:r>
    </w:p>
    <w:p w:rsidR="00753B0E" w:rsidRPr="00753B0E" w:rsidRDefault="00CC7E5E" w:rsidP="006C79D7">
      <w:pPr>
        <w:spacing w:after="0"/>
        <w:jc w:val="both"/>
        <w:rPr>
          <w:rFonts w:ascii="Times New Roman" w:hAnsi="Times New Roman" w:cs="Times New Roman"/>
          <w:sz w:val="18"/>
          <w:szCs w:val="18"/>
        </w:rPr>
      </w:pPr>
      <w:hyperlink r:id="rId24" w:history="1">
        <w:r w:rsidR="00753B0E" w:rsidRPr="00753B0E">
          <w:rPr>
            <w:rStyle w:val="Hyperlink"/>
            <w:rFonts w:ascii="Times New Roman" w:hAnsi="Times New Roman" w:cs="Times New Roman"/>
            <w:sz w:val="18"/>
            <w:szCs w:val="18"/>
          </w:rPr>
          <w:t>020@knab.gov.lv</w:t>
        </w:r>
      </w:hyperlink>
      <w:r w:rsidR="00753B0E" w:rsidRPr="00753B0E">
        <w:rPr>
          <w:rFonts w:ascii="Times New Roman" w:hAnsi="Times New Roman" w:cs="Times New Roman"/>
          <w:sz w:val="18"/>
          <w:szCs w:val="18"/>
        </w:rPr>
        <w:t xml:space="preserve"> </w:t>
      </w:r>
    </w:p>
    <w:sectPr w:rsidR="00753B0E" w:rsidRPr="00753B0E" w:rsidSect="00F069C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A9" w:rsidRDefault="007212A9" w:rsidP="005C7C99">
      <w:pPr>
        <w:spacing w:after="0" w:line="240" w:lineRule="auto"/>
      </w:pPr>
      <w:r>
        <w:separator/>
      </w:r>
    </w:p>
  </w:endnote>
  <w:endnote w:type="continuationSeparator" w:id="0">
    <w:p w:rsidR="007212A9" w:rsidRDefault="007212A9" w:rsidP="005C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A9" w:rsidRDefault="007212A9" w:rsidP="005C7C99">
      <w:pPr>
        <w:spacing w:after="0" w:line="240" w:lineRule="auto"/>
      </w:pPr>
      <w:r>
        <w:separator/>
      </w:r>
    </w:p>
  </w:footnote>
  <w:footnote w:type="continuationSeparator" w:id="0">
    <w:p w:rsidR="007212A9" w:rsidRDefault="007212A9" w:rsidP="005C7C99">
      <w:pPr>
        <w:spacing w:after="0" w:line="240" w:lineRule="auto"/>
      </w:pPr>
      <w:r>
        <w:continuationSeparator/>
      </w:r>
    </w:p>
  </w:footnote>
  <w:footnote w:id="1">
    <w:p w:rsidR="007212A9" w:rsidRPr="00B3346A" w:rsidRDefault="007212A9" w:rsidP="00AD0E17">
      <w:pPr>
        <w:pStyle w:val="FootnoteText"/>
        <w:jc w:val="both"/>
        <w:rPr>
          <w:rFonts w:ascii="Times New Roman" w:hAnsi="Times New Roman" w:cs="Times New Roman"/>
        </w:rPr>
      </w:pPr>
      <w:r w:rsidRPr="00B3346A">
        <w:rPr>
          <w:rStyle w:val="FootnoteReference"/>
          <w:rFonts w:ascii="Times New Roman" w:hAnsi="Times New Roman" w:cs="Times New Roman"/>
        </w:rPr>
        <w:footnoteRef/>
      </w:r>
      <w:r w:rsidRPr="00B3346A">
        <w:rPr>
          <w:rFonts w:ascii="Times New Roman" w:hAnsi="Times New Roman" w:cs="Times New Roman"/>
        </w:rPr>
        <w:t xml:space="preserve"> Pamatojoties uz Ministru kabine</w:t>
      </w:r>
      <w:r>
        <w:rPr>
          <w:rFonts w:ascii="Times New Roman" w:hAnsi="Times New Roman" w:cs="Times New Roman"/>
        </w:rPr>
        <w:t>ta 2013.gada 4.februāra rīkojuma</w:t>
      </w:r>
      <w:r w:rsidRPr="00B3346A">
        <w:rPr>
          <w:rFonts w:ascii="Times New Roman" w:hAnsi="Times New Roman" w:cs="Times New Roman"/>
        </w:rPr>
        <w:t xml:space="preserve"> Nr.38 “Par Administratīvo sodu sistēmas attīstības koncepciju” 9.punktu un Ministru kabineta 2014.gada 22.aprīļa sēdes </w:t>
      </w:r>
      <w:proofErr w:type="spellStart"/>
      <w:r w:rsidRPr="00B3346A">
        <w:rPr>
          <w:rFonts w:ascii="Times New Roman" w:hAnsi="Times New Roman" w:cs="Times New Roman"/>
        </w:rPr>
        <w:t>protokollēmuma</w:t>
      </w:r>
      <w:proofErr w:type="spellEnd"/>
      <w:r w:rsidRPr="00B3346A">
        <w:rPr>
          <w:rFonts w:ascii="Times New Roman" w:hAnsi="Times New Roman" w:cs="Times New Roman"/>
        </w:rPr>
        <w:t xml:space="preserve"> (prot. Nr.24 26.§) “Informatīvais ziņojums “Nozaru administratīvo pārkāpumu kodifikācijas ieviešanas sistēma”” 2. un 3.punktu</w:t>
      </w:r>
    </w:p>
  </w:footnote>
  <w:footnote w:id="2">
    <w:p w:rsidR="007212A9" w:rsidRPr="006566E5" w:rsidRDefault="007212A9" w:rsidP="006566E5">
      <w:pPr>
        <w:pStyle w:val="FootnoteText"/>
        <w:jc w:val="both"/>
        <w:rPr>
          <w:rFonts w:ascii="Times New Roman" w:hAnsi="Times New Roman" w:cs="Times New Roman"/>
        </w:rPr>
      </w:pPr>
      <w:r w:rsidRPr="006566E5">
        <w:rPr>
          <w:rStyle w:val="FootnoteReference"/>
          <w:rFonts w:ascii="Times New Roman" w:hAnsi="Times New Roman" w:cs="Times New Roman"/>
        </w:rPr>
        <w:footnoteRef/>
      </w:r>
      <w:r w:rsidRPr="006566E5">
        <w:rPr>
          <w:rFonts w:ascii="Times New Roman" w:hAnsi="Times New Roman" w:cs="Times New Roman"/>
        </w:rPr>
        <w:t xml:space="preserve"> </w:t>
      </w:r>
      <w:r w:rsidRPr="006566E5">
        <w:rPr>
          <w:rFonts w:ascii="Times New Roman" w:hAnsi="Times New Roman" w:cs="Times New Roman"/>
        </w:rPr>
        <w:t>Latvija ir pievienojusies visiem starptautiskajiem līgumiem, kuru saistību izpildi uzrauga GRECO: Eiropas Padomes Krimināltiesību pretkorupcijas konvencijai un Papildprotokolam, Eiropas Padomes Civiltiesību pretkorupcijas konvencijai.</w:t>
      </w:r>
    </w:p>
  </w:footnote>
  <w:footnote w:id="3">
    <w:p w:rsidR="007212A9" w:rsidRPr="00504F22" w:rsidRDefault="007212A9" w:rsidP="006566E5">
      <w:pPr>
        <w:pStyle w:val="FootnoteText"/>
        <w:rPr>
          <w:rFonts w:ascii="Times New Roman" w:hAnsi="Times New Roman" w:cs="Times New Roman"/>
        </w:rPr>
      </w:pPr>
      <w:r w:rsidRPr="00504F22">
        <w:rPr>
          <w:rStyle w:val="FootnoteReference"/>
          <w:rFonts w:ascii="Times New Roman" w:hAnsi="Times New Roman" w:cs="Times New Roman"/>
        </w:rPr>
        <w:footnoteRef/>
      </w:r>
      <w:r w:rsidRPr="00504F22">
        <w:rPr>
          <w:rFonts w:ascii="Times New Roman" w:hAnsi="Times New Roman" w:cs="Times New Roman"/>
        </w:rPr>
        <w:t xml:space="preserve"> </w:t>
      </w:r>
      <w:r w:rsidRPr="00504F22">
        <w:rPr>
          <w:rFonts w:ascii="Times New Roman" w:hAnsi="Times New Roman" w:cs="Times New Roman"/>
        </w:rPr>
        <w:t xml:space="preserve">OECD ACN Stambulas Pretkorupcijas darbības plāns: </w:t>
      </w:r>
      <w:hyperlink r:id="rId1" w:history="1">
        <w:r w:rsidRPr="00504F22">
          <w:rPr>
            <w:rStyle w:val="Hyperlink"/>
            <w:rFonts w:ascii="Times New Roman" w:hAnsi="Times New Roman" w:cs="Times New Roman"/>
          </w:rPr>
          <w:t>http://www.oecd.org/corruption/acn/istanbulactionplan/</w:t>
        </w:r>
      </w:hyperlink>
      <w:r w:rsidRPr="00504F22">
        <w:rPr>
          <w:rFonts w:ascii="Times New Roman" w:hAnsi="Times New Roman" w:cs="Times New Roman"/>
        </w:rPr>
        <w:t xml:space="preserve"> </w:t>
      </w:r>
    </w:p>
  </w:footnote>
  <w:footnote w:id="4">
    <w:p w:rsidR="007212A9" w:rsidRDefault="007212A9" w:rsidP="00014C0B">
      <w:pPr>
        <w:pStyle w:val="FootnoteText"/>
        <w:rPr>
          <w:rFonts w:ascii="Times New Roman" w:hAnsi="Times New Roman" w:cs="Times New Roman"/>
        </w:rPr>
      </w:pPr>
      <w:r w:rsidRPr="00567E0E">
        <w:rPr>
          <w:rStyle w:val="FootnoteReference"/>
          <w:rFonts w:ascii="Times New Roman" w:hAnsi="Times New Roman" w:cs="Times New Roman"/>
        </w:rPr>
        <w:footnoteRef/>
      </w:r>
      <w:r w:rsidRPr="00567E0E">
        <w:rPr>
          <w:rFonts w:ascii="Times New Roman" w:hAnsi="Times New Roman" w:cs="Times New Roman"/>
        </w:rPr>
        <w:t xml:space="preserve"> </w:t>
      </w:r>
      <w:r>
        <w:rPr>
          <w:rFonts w:ascii="Times New Roman" w:hAnsi="Times New Roman" w:cs="Times New Roman"/>
        </w:rPr>
        <w:t>Biroja darbības stratēģija 2018.–2019.gadam.</w:t>
      </w:r>
    </w:p>
    <w:p w:rsidR="007212A9" w:rsidRPr="00567E0E" w:rsidRDefault="007212A9" w:rsidP="00014C0B">
      <w:pPr>
        <w:pStyle w:val="FootnoteText"/>
        <w:rPr>
          <w:rFonts w:ascii="Times New Roman" w:hAnsi="Times New Roman" w:cs="Times New Roman"/>
        </w:rPr>
      </w:pPr>
      <w:r>
        <w:rPr>
          <w:rFonts w:ascii="Times New Roman" w:hAnsi="Times New Roman" w:cs="Times New Roman"/>
        </w:rPr>
        <w:t xml:space="preserve">Pieejama: </w:t>
      </w:r>
      <w:hyperlink r:id="rId2" w:history="1">
        <w:r w:rsidRPr="00BF5FA6">
          <w:rPr>
            <w:rStyle w:val="Hyperlink"/>
            <w:rFonts w:ascii="Times New Roman" w:hAnsi="Times New Roman" w:cs="Times New Roman"/>
          </w:rPr>
          <w:t>https://www.knab.gov.lv/upload/2018/strategija_2018_2019_apstiprinata.pdf</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331026"/>
      <w:docPartObj>
        <w:docPartGallery w:val="Page Numbers (Top of Page)"/>
        <w:docPartUnique/>
      </w:docPartObj>
    </w:sdtPr>
    <w:sdtEndPr>
      <w:rPr>
        <w:noProof/>
      </w:rPr>
    </w:sdtEndPr>
    <w:sdtContent>
      <w:p w:rsidR="007212A9" w:rsidRDefault="007212A9">
        <w:pPr>
          <w:pStyle w:val="Header"/>
          <w:jc w:val="center"/>
        </w:pPr>
        <w:r>
          <w:fldChar w:fldCharType="begin"/>
        </w:r>
        <w:r>
          <w:instrText xml:space="preserve"> PAGE   \* MERGEFORMAT </w:instrText>
        </w:r>
        <w:r>
          <w:fldChar w:fldCharType="separate"/>
        </w:r>
        <w:r w:rsidR="00CC7E5E">
          <w:rPr>
            <w:noProof/>
          </w:rPr>
          <w:t>30</w:t>
        </w:r>
        <w:r>
          <w:rPr>
            <w:noProof/>
          </w:rPr>
          <w:fldChar w:fldCharType="end"/>
        </w:r>
      </w:p>
    </w:sdtContent>
  </w:sdt>
  <w:p w:rsidR="007212A9" w:rsidRPr="0017538A" w:rsidRDefault="007212A9" w:rsidP="007C77C3">
    <w:pPr>
      <w:pStyle w:val="Header"/>
      <w:tabs>
        <w:tab w:val="left" w:pos="3567"/>
      </w:tabs>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A9" w:rsidRPr="0017538A" w:rsidRDefault="007212A9" w:rsidP="007C77C3">
    <w:pPr>
      <w:pStyle w:val="Header"/>
      <w:tabs>
        <w:tab w:val="left" w:pos="3952"/>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32E"/>
    <w:multiLevelType w:val="hybridMultilevel"/>
    <w:tmpl w:val="787E0F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104724"/>
    <w:multiLevelType w:val="hybridMultilevel"/>
    <w:tmpl w:val="E0EAF43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nsid w:val="0B29529F"/>
    <w:multiLevelType w:val="hybridMultilevel"/>
    <w:tmpl w:val="D57A2E4C"/>
    <w:lvl w:ilvl="0" w:tplc="04260017">
      <w:start w:val="1"/>
      <w:numFmt w:val="low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nsid w:val="0BF141E0"/>
    <w:multiLevelType w:val="hybridMultilevel"/>
    <w:tmpl w:val="EEB42FE0"/>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nsid w:val="11D24B52"/>
    <w:multiLevelType w:val="hybridMultilevel"/>
    <w:tmpl w:val="FE629D6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1A5A2B05"/>
    <w:multiLevelType w:val="hybridMultilevel"/>
    <w:tmpl w:val="198C6182"/>
    <w:lvl w:ilvl="0" w:tplc="04260017">
      <w:start w:val="1"/>
      <w:numFmt w:val="low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nsid w:val="1C563693"/>
    <w:multiLevelType w:val="hybridMultilevel"/>
    <w:tmpl w:val="295057F8"/>
    <w:lvl w:ilvl="0" w:tplc="BF4AF802">
      <w:start w:val="1"/>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nsid w:val="1D3816DD"/>
    <w:multiLevelType w:val="hybridMultilevel"/>
    <w:tmpl w:val="AD24AD66"/>
    <w:lvl w:ilvl="0" w:tplc="04260017">
      <w:start w:val="1"/>
      <w:numFmt w:val="low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nsid w:val="1D3B18F2"/>
    <w:multiLevelType w:val="multilevel"/>
    <w:tmpl w:val="6A885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335F2"/>
    <w:multiLevelType w:val="hybridMultilevel"/>
    <w:tmpl w:val="7C868F8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nsid w:val="2E965F1D"/>
    <w:multiLevelType w:val="hybridMultilevel"/>
    <w:tmpl w:val="943E843E"/>
    <w:lvl w:ilvl="0" w:tplc="5AF0FCD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10021B"/>
    <w:multiLevelType w:val="hybridMultilevel"/>
    <w:tmpl w:val="0CFC65A0"/>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32BF0574"/>
    <w:multiLevelType w:val="hybridMultilevel"/>
    <w:tmpl w:val="A5F2E2A8"/>
    <w:lvl w:ilvl="0" w:tplc="DDD840EA">
      <w:start w:val="1"/>
      <w:numFmt w:val="decimal"/>
      <w:lvlText w:val="%1."/>
      <w:lvlJc w:val="left"/>
      <w:pPr>
        <w:ind w:left="1287" w:hanging="360"/>
      </w:pPr>
      <w:rPr>
        <w:color w:val="000000" w:themeColor="text1"/>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nsid w:val="32F52685"/>
    <w:multiLevelType w:val="hybridMultilevel"/>
    <w:tmpl w:val="C88C297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4A562B8"/>
    <w:multiLevelType w:val="hybridMultilevel"/>
    <w:tmpl w:val="F12CA5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17">
      <w:start w:val="1"/>
      <w:numFmt w:val="lowerLetter"/>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A5F100F"/>
    <w:multiLevelType w:val="hybridMultilevel"/>
    <w:tmpl w:val="92728D38"/>
    <w:lvl w:ilvl="0" w:tplc="61765DFA">
      <w:start w:val="1"/>
      <w:numFmt w:val="lowerLetter"/>
      <w:lvlText w:val="%1)"/>
      <w:lvlJc w:val="left"/>
      <w:pPr>
        <w:ind w:left="1699" w:hanging="99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nsid w:val="3AAA532F"/>
    <w:multiLevelType w:val="hybridMultilevel"/>
    <w:tmpl w:val="B002EC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AB3266C"/>
    <w:multiLevelType w:val="hybridMultilevel"/>
    <w:tmpl w:val="E5A8FAF2"/>
    <w:lvl w:ilvl="0" w:tplc="0426000F">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nsid w:val="418A1600"/>
    <w:multiLevelType w:val="hybridMultilevel"/>
    <w:tmpl w:val="77A43F5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92C62B5"/>
    <w:multiLevelType w:val="multilevel"/>
    <w:tmpl w:val="80FE1870"/>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7B0351"/>
    <w:multiLevelType w:val="multilevel"/>
    <w:tmpl w:val="4C2CAAC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8E736F"/>
    <w:multiLevelType w:val="hybridMultilevel"/>
    <w:tmpl w:val="9530ECD6"/>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nsid w:val="53BB66E5"/>
    <w:multiLevelType w:val="hybridMultilevel"/>
    <w:tmpl w:val="58BA5E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5CB1116"/>
    <w:multiLevelType w:val="hybridMultilevel"/>
    <w:tmpl w:val="4914F1AA"/>
    <w:lvl w:ilvl="0" w:tplc="179ACA9C">
      <w:start w:val="1"/>
      <w:numFmt w:val="decimal"/>
      <w:lvlText w:val="%1."/>
      <w:lvlJc w:val="left"/>
      <w:pPr>
        <w:ind w:left="1714" w:hanging="1005"/>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4A42478"/>
    <w:multiLevelType w:val="hybridMultilevel"/>
    <w:tmpl w:val="5D88A820"/>
    <w:lvl w:ilvl="0" w:tplc="9F342E4A">
      <w:start w:val="1"/>
      <w:numFmt w:val="decimal"/>
      <w:lvlText w:val="%1."/>
      <w:lvlJc w:val="left"/>
      <w:pPr>
        <w:ind w:left="1699" w:hanging="99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68572F5B"/>
    <w:multiLevelType w:val="hybridMultilevel"/>
    <w:tmpl w:val="97E00D9C"/>
    <w:lvl w:ilvl="0" w:tplc="899CC74E">
      <w:start w:val="1"/>
      <w:numFmt w:val="decimal"/>
      <w:lvlText w:val="%1)"/>
      <w:lvlJc w:val="left"/>
      <w:pPr>
        <w:ind w:left="1669" w:hanging="9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79812197"/>
    <w:multiLevelType w:val="hybridMultilevel"/>
    <w:tmpl w:val="90E0533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7D2D01AE"/>
    <w:multiLevelType w:val="hybridMultilevel"/>
    <w:tmpl w:val="62C2312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2"/>
  </w:num>
  <w:num w:numId="2">
    <w:abstractNumId w:val="0"/>
  </w:num>
  <w:num w:numId="3">
    <w:abstractNumId w:val="22"/>
  </w:num>
  <w:num w:numId="4">
    <w:abstractNumId w:val="17"/>
  </w:num>
  <w:num w:numId="5">
    <w:abstractNumId w:val="6"/>
  </w:num>
  <w:num w:numId="6">
    <w:abstractNumId w:val="4"/>
  </w:num>
  <w:num w:numId="7">
    <w:abstractNumId w:val="3"/>
  </w:num>
  <w:num w:numId="8">
    <w:abstractNumId w:val="10"/>
  </w:num>
  <w:num w:numId="9">
    <w:abstractNumId w:val="14"/>
  </w:num>
  <w:num w:numId="10">
    <w:abstractNumId w:val="8"/>
  </w:num>
  <w:num w:numId="11">
    <w:abstractNumId w:val="5"/>
  </w:num>
  <w:num w:numId="12">
    <w:abstractNumId w:val="1"/>
  </w:num>
  <w:num w:numId="13">
    <w:abstractNumId w:val="7"/>
  </w:num>
  <w:num w:numId="14">
    <w:abstractNumId w:val="27"/>
  </w:num>
  <w:num w:numId="15">
    <w:abstractNumId w:val="25"/>
  </w:num>
  <w:num w:numId="16">
    <w:abstractNumId w:val="19"/>
  </w:num>
  <w:num w:numId="17">
    <w:abstractNumId w:val="23"/>
  </w:num>
  <w:num w:numId="18">
    <w:abstractNumId w:val="20"/>
  </w:num>
  <w:num w:numId="19">
    <w:abstractNumId w:val="18"/>
  </w:num>
  <w:num w:numId="20">
    <w:abstractNumId w:val="21"/>
  </w:num>
  <w:num w:numId="21">
    <w:abstractNumId w:val="24"/>
  </w:num>
  <w:num w:numId="22">
    <w:abstractNumId w:val="2"/>
  </w:num>
  <w:num w:numId="23">
    <w:abstractNumId w:val="15"/>
  </w:num>
  <w:num w:numId="24">
    <w:abstractNumId w:val="11"/>
  </w:num>
  <w:num w:numId="25">
    <w:abstractNumId w:val="13"/>
  </w:num>
  <w:num w:numId="26">
    <w:abstractNumId w:val="16"/>
  </w:num>
  <w:num w:numId="27">
    <w:abstractNumId w:val="26"/>
  </w:num>
  <w:num w:numId="2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55"/>
    <w:rsid w:val="00014C0B"/>
    <w:rsid w:val="000234A1"/>
    <w:rsid w:val="00036365"/>
    <w:rsid w:val="0005159F"/>
    <w:rsid w:val="0005210E"/>
    <w:rsid w:val="00053B00"/>
    <w:rsid w:val="00057A29"/>
    <w:rsid w:val="00091ABA"/>
    <w:rsid w:val="000A47E0"/>
    <w:rsid w:val="000A4C66"/>
    <w:rsid w:val="000D7B17"/>
    <w:rsid w:val="000F75AE"/>
    <w:rsid w:val="001051DF"/>
    <w:rsid w:val="00125234"/>
    <w:rsid w:val="00183323"/>
    <w:rsid w:val="00186545"/>
    <w:rsid w:val="00192CE3"/>
    <w:rsid w:val="001945A7"/>
    <w:rsid w:val="00195BD8"/>
    <w:rsid w:val="001B1D36"/>
    <w:rsid w:val="001B4097"/>
    <w:rsid w:val="001B5854"/>
    <w:rsid w:val="001C1266"/>
    <w:rsid w:val="001D25EE"/>
    <w:rsid w:val="001D67E8"/>
    <w:rsid w:val="001E4F84"/>
    <w:rsid w:val="001E6FF8"/>
    <w:rsid w:val="00236EE8"/>
    <w:rsid w:val="00253753"/>
    <w:rsid w:val="00261D2E"/>
    <w:rsid w:val="00262A22"/>
    <w:rsid w:val="002656BA"/>
    <w:rsid w:val="0027327E"/>
    <w:rsid w:val="00295256"/>
    <w:rsid w:val="002B65C5"/>
    <w:rsid w:val="002D03AA"/>
    <w:rsid w:val="002D506B"/>
    <w:rsid w:val="002E455E"/>
    <w:rsid w:val="002E7EE6"/>
    <w:rsid w:val="002F101D"/>
    <w:rsid w:val="002F188D"/>
    <w:rsid w:val="0030220C"/>
    <w:rsid w:val="00310E08"/>
    <w:rsid w:val="003149A7"/>
    <w:rsid w:val="0032057C"/>
    <w:rsid w:val="00347B23"/>
    <w:rsid w:val="003512EC"/>
    <w:rsid w:val="003548E9"/>
    <w:rsid w:val="00377602"/>
    <w:rsid w:val="00377FA5"/>
    <w:rsid w:val="0038533D"/>
    <w:rsid w:val="0038658E"/>
    <w:rsid w:val="0038724D"/>
    <w:rsid w:val="0039744A"/>
    <w:rsid w:val="003A3A10"/>
    <w:rsid w:val="003B5DB3"/>
    <w:rsid w:val="003B69FA"/>
    <w:rsid w:val="003C1E62"/>
    <w:rsid w:val="003C79FC"/>
    <w:rsid w:val="003E3299"/>
    <w:rsid w:val="003E4D73"/>
    <w:rsid w:val="003F146C"/>
    <w:rsid w:val="003F454D"/>
    <w:rsid w:val="00400D0C"/>
    <w:rsid w:val="00412CC1"/>
    <w:rsid w:val="0042213D"/>
    <w:rsid w:val="00425D3B"/>
    <w:rsid w:val="00431B55"/>
    <w:rsid w:val="00444283"/>
    <w:rsid w:val="00457FE0"/>
    <w:rsid w:val="00464F0F"/>
    <w:rsid w:val="00465B2A"/>
    <w:rsid w:val="004749B2"/>
    <w:rsid w:val="0048180A"/>
    <w:rsid w:val="00484481"/>
    <w:rsid w:val="004A0414"/>
    <w:rsid w:val="004B54BD"/>
    <w:rsid w:val="005020FC"/>
    <w:rsid w:val="0050247E"/>
    <w:rsid w:val="00504785"/>
    <w:rsid w:val="00504F22"/>
    <w:rsid w:val="00507482"/>
    <w:rsid w:val="00511DDA"/>
    <w:rsid w:val="00517ABE"/>
    <w:rsid w:val="0052015E"/>
    <w:rsid w:val="00524A19"/>
    <w:rsid w:val="00530175"/>
    <w:rsid w:val="00540589"/>
    <w:rsid w:val="005442FE"/>
    <w:rsid w:val="005511F0"/>
    <w:rsid w:val="005544BE"/>
    <w:rsid w:val="0056287F"/>
    <w:rsid w:val="00563E4F"/>
    <w:rsid w:val="00567E0E"/>
    <w:rsid w:val="005A13EC"/>
    <w:rsid w:val="005A15F6"/>
    <w:rsid w:val="005B0FA2"/>
    <w:rsid w:val="005B286E"/>
    <w:rsid w:val="005B41B2"/>
    <w:rsid w:val="005B78E1"/>
    <w:rsid w:val="005C7C99"/>
    <w:rsid w:val="005D03C7"/>
    <w:rsid w:val="005D37B9"/>
    <w:rsid w:val="005F70B3"/>
    <w:rsid w:val="005F7883"/>
    <w:rsid w:val="00602850"/>
    <w:rsid w:val="00617F94"/>
    <w:rsid w:val="00630E9E"/>
    <w:rsid w:val="006333D4"/>
    <w:rsid w:val="0063474F"/>
    <w:rsid w:val="006566E5"/>
    <w:rsid w:val="00672C1F"/>
    <w:rsid w:val="00686C71"/>
    <w:rsid w:val="006A27C6"/>
    <w:rsid w:val="006C0EB9"/>
    <w:rsid w:val="006C2DCC"/>
    <w:rsid w:val="006C6AD5"/>
    <w:rsid w:val="006C79D7"/>
    <w:rsid w:val="006C7F03"/>
    <w:rsid w:val="00703B94"/>
    <w:rsid w:val="00705F28"/>
    <w:rsid w:val="007150F1"/>
    <w:rsid w:val="007212A9"/>
    <w:rsid w:val="00724A3E"/>
    <w:rsid w:val="007309AE"/>
    <w:rsid w:val="00733604"/>
    <w:rsid w:val="00747777"/>
    <w:rsid w:val="00747C2C"/>
    <w:rsid w:val="00753B0E"/>
    <w:rsid w:val="0076333A"/>
    <w:rsid w:val="00766EF5"/>
    <w:rsid w:val="0077134E"/>
    <w:rsid w:val="007732D5"/>
    <w:rsid w:val="00775076"/>
    <w:rsid w:val="00783ABE"/>
    <w:rsid w:val="00791F5C"/>
    <w:rsid w:val="007B12D3"/>
    <w:rsid w:val="007B13E9"/>
    <w:rsid w:val="007B27B6"/>
    <w:rsid w:val="007C0FB4"/>
    <w:rsid w:val="007C5948"/>
    <w:rsid w:val="007C77C3"/>
    <w:rsid w:val="007D30C9"/>
    <w:rsid w:val="007D495E"/>
    <w:rsid w:val="007F3015"/>
    <w:rsid w:val="007F5B30"/>
    <w:rsid w:val="0081243E"/>
    <w:rsid w:val="008165D7"/>
    <w:rsid w:val="008173D9"/>
    <w:rsid w:val="00822061"/>
    <w:rsid w:val="00824CFF"/>
    <w:rsid w:val="00834F49"/>
    <w:rsid w:val="008437AF"/>
    <w:rsid w:val="00847D82"/>
    <w:rsid w:val="00857658"/>
    <w:rsid w:val="00864B12"/>
    <w:rsid w:val="008845AF"/>
    <w:rsid w:val="008849D6"/>
    <w:rsid w:val="008928F5"/>
    <w:rsid w:val="008A63C4"/>
    <w:rsid w:val="008B0AE5"/>
    <w:rsid w:val="008D722F"/>
    <w:rsid w:val="008E6C7D"/>
    <w:rsid w:val="008F60B9"/>
    <w:rsid w:val="008F6164"/>
    <w:rsid w:val="009060F2"/>
    <w:rsid w:val="0090706F"/>
    <w:rsid w:val="00922C39"/>
    <w:rsid w:val="00931762"/>
    <w:rsid w:val="009354A4"/>
    <w:rsid w:val="00943819"/>
    <w:rsid w:val="0095516E"/>
    <w:rsid w:val="0096343D"/>
    <w:rsid w:val="00963D8A"/>
    <w:rsid w:val="009A26D0"/>
    <w:rsid w:val="009B0ACC"/>
    <w:rsid w:val="009B1084"/>
    <w:rsid w:val="009B360C"/>
    <w:rsid w:val="009B6BE0"/>
    <w:rsid w:val="009C075C"/>
    <w:rsid w:val="009C0D2C"/>
    <w:rsid w:val="009C5216"/>
    <w:rsid w:val="009D0E62"/>
    <w:rsid w:val="009D30DC"/>
    <w:rsid w:val="009E23A3"/>
    <w:rsid w:val="009F0B91"/>
    <w:rsid w:val="00A00640"/>
    <w:rsid w:val="00A25EAA"/>
    <w:rsid w:val="00A30E21"/>
    <w:rsid w:val="00A320EC"/>
    <w:rsid w:val="00A375AC"/>
    <w:rsid w:val="00A41152"/>
    <w:rsid w:val="00A440AF"/>
    <w:rsid w:val="00A46773"/>
    <w:rsid w:val="00A518F3"/>
    <w:rsid w:val="00A6234E"/>
    <w:rsid w:val="00A73FF9"/>
    <w:rsid w:val="00A77875"/>
    <w:rsid w:val="00A92DF4"/>
    <w:rsid w:val="00AA1E40"/>
    <w:rsid w:val="00AA69A6"/>
    <w:rsid w:val="00AB047B"/>
    <w:rsid w:val="00AB75A7"/>
    <w:rsid w:val="00AC323A"/>
    <w:rsid w:val="00AD0E17"/>
    <w:rsid w:val="00AF410B"/>
    <w:rsid w:val="00AF5F65"/>
    <w:rsid w:val="00AF6270"/>
    <w:rsid w:val="00B25394"/>
    <w:rsid w:val="00B3161B"/>
    <w:rsid w:val="00B41B55"/>
    <w:rsid w:val="00B443E1"/>
    <w:rsid w:val="00B51015"/>
    <w:rsid w:val="00B572CD"/>
    <w:rsid w:val="00B65562"/>
    <w:rsid w:val="00B72ED6"/>
    <w:rsid w:val="00B76B7C"/>
    <w:rsid w:val="00B820D5"/>
    <w:rsid w:val="00BA30C5"/>
    <w:rsid w:val="00BA69D4"/>
    <w:rsid w:val="00BC29F5"/>
    <w:rsid w:val="00BC4E4E"/>
    <w:rsid w:val="00BD3197"/>
    <w:rsid w:val="00BD4E6C"/>
    <w:rsid w:val="00BF1444"/>
    <w:rsid w:val="00BF447D"/>
    <w:rsid w:val="00C04961"/>
    <w:rsid w:val="00C07F11"/>
    <w:rsid w:val="00C112AC"/>
    <w:rsid w:val="00C161B6"/>
    <w:rsid w:val="00C175ED"/>
    <w:rsid w:val="00C20DA3"/>
    <w:rsid w:val="00C258E6"/>
    <w:rsid w:val="00C30F68"/>
    <w:rsid w:val="00C47D85"/>
    <w:rsid w:val="00C52763"/>
    <w:rsid w:val="00C8293D"/>
    <w:rsid w:val="00C837A5"/>
    <w:rsid w:val="00C83DC1"/>
    <w:rsid w:val="00C84183"/>
    <w:rsid w:val="00C92A80"/>
    <w:rsid w:val="00CC0CD3"/>
    <w:rsid w:val="00CC7E5E"/>
    <w:rsid w:val="00CD034E"/>
    <w:rsid w:val="00CD0931"/>
    <w:rsid w:val="00CD0F8C"/>
    <w:rsid w:val="00CD7D87"/>
    <w:rsid w:val="00CF1C86"/>
    <w:rsid w:val="00D04E64"/>
    <w:rsid w:val="00D07448"/>
    <w:rsid w:val="00D32C37"/>
    <w:rsid w:val="00D40F2C"/>
    <w:rsid w:val="00D6174E"/>
    <w:rsid w:val="00D66274"/>
    <w:rsid w:val="00D74A7E"/>
    <w:rsid w:val="00D76A39"/>
    <w:rsid w:val="00D76B95"/>
    <w:rsid w:val="00D87954"/>
    <w:rsid w:val="00D97258"/>
    <w:rsid w:val="00D97C47"/>
    <w:rsid w:val="00DA7C56"/>
    <w:rsid w:val="00DC1158"/>
    <w:rsid w:val="00DC515E"/>
    <w:rsid w:val="00DC7E14"/>
    <w:rsid w:val="00DD02E3"/>
    <w:rsid w:val="00E01CE7"/>
    <w:rsid w:val="00E04557"/>
    <w:rsid w:val="00E06A95"/>
    <w:rsid w:val="00E34FE6"/>
    <w:rsid w:val="00E37DC9"/>
    <w:rsid w:val="00E42E34"/>
    <w:rsid w:val="00E476B6"/>
    <w:rsid w:val="00E538AB"/>
    <w:rsid w:val="00E55979"/>
    <w:rsid w:val="00E666C6"/>
    <w:rsid w:val="00E74018"/>
    <w:rsid w:val="00E86B8A"/>
    <w:rsid w:val="00EB716D"/>
    <w:rsid w:val="00EC3057"/>
    <w:rsid w:val="00F069CC"/>
    <w:rsid w:val="00F074CD"/>
    <w:rsid w:val="00F145C2"/>
    <w:rsid w:val="00F158D8"/>
    <w:rsid w:val="00F24C19"/>
    <w:rsid w:val="00F3171D"/>
    <w:rsid w:val="00F31B70"/>
    <w:rsid w:val="00F338BF"/>
    <w:rsid w:val="00F45238"/>
    <w:rsid w:val="00F46738"/>
    <w:rsid w:val="00F55DDA"/>
    <w:rsid w:val="00F65D4B"/>
    <w:rsid w:val="00F9286E"/>
    <w:rsid w:val="00FD2F82"/>
    <w:rsid w:val="00FF2C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99"/>
  </w:style>
  <w:style w:type="paragraph" w:styleId="Heading1">
    <w:name w:val="heading 1"/>
    <w:aliases w:val="Apakšvirsraksts"/>
    <w:basedOn w:val="Normal"/>
    <w:next w:val="Normal"/>
    <w:link w:val="Heading1Char"/>
    <w:uiPriority w:val="9"/>
    <w:qFormat/>
    <w:rsid w:val="005C7C99"/>
    <w:pPr>
      <w:keepNext/>
      <w:keepLines/>
      <w:spacing w:before="240" w:after="0" w:line="24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5C7C99"/>
    <w:pPr>
      <w:keepNext/>
      <w:keepLines/>
      <w:spacing w:before="200" w:after="0"/>
      <w:jc w:val="cente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nhideWhenUsed/>
    <w:qFormat/>
    <w:rsid w:val="005C7C99"/>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666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kšvirsraksts Char"/>
    <w:basedOn w:val="DefaultParagraphFont"/>
    <w:link w:val="Heading1"/>
    <w:uiPriority w:val="9"/>
    <w:rsid w:val="005C7C99"/>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5C7C99"/>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rsid w:val="005C7C99"/>
    <w:rPr>
      <w:rFonts w:ascii="Cambria" w:eastAsia="Times New Roman" w:hAnsi="Cambria" w:cs="Times New Roman"/>
      <w:b/>
      <w:bCs/>
      <w:sz w:val="26"/>
      <w:szCs w:val="26"/>
    </w:rPr>
  </w:style>
  <w:style w:type="paragraph" w:customStyle="1" w:styleId="Default">
    <w:name w:val="Default"/>
    <w:rsid w:val="005C7C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5C7C99"/>
    <w:pPr>
      <w:spacing w:after="0" w:line="240" w:lineRule="auto"/>
    </w:pPr>
  </w:style>
  <w:style w:type="character" w:customStyle="1" w:styleId="NoSpacingChar">
    <w:name w:val="No Spacing Char"/>
    <w:basedOn w:val="DefaultParagraphFont"/>
    <w:link w:val="NoSpacing"/>
    <w:uiPriority w:val="1"/>
    <w:rsid w:val="005C7C99"/>
  </w:style>
  <w:style w:type="character" w:styleId="Hyperlink">
    <w:name w:val="Hyperlink"/>
    <w:basedOn w:val="DefaultParagraphFont"/>
    <w:uiPriority w:val="99"/>
    <w:unhideWhenUsed/>
    <w:rsid w:val="005C7C99"/>
    <w:rPr>
      <w:color w:val="0000FF" w:themeColor="hyperlink"/>
      <w:u w:val="single"/>
    </w:rPr>
  </w:style>
  <w:style w:type="paragraph" w:styleId="NormalWeb">
    <w:name w:val="Normal (Web)"/>
    <w:basedOn w:val="Normal"/>
    <w:uiPriority w:val="99"/>
    <w:rsid w:val="005C7C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5">
    <w:name w:val="c5"/>
    <w:basedOn w:val="DefaultParagraphFont"/>
    <w:rsid w:val="005C7C99"/>
  </w:style>
  <w:style w:type="paragraph" w:styleId="ListParagraph">
    <w:name w:val="List Paragraph"/>
    <w:basedOn w:val="Normal"/>
    <w:uiPriority w:val="34"/>
    <w:qFormat/>
    <w:rsid w:val="005C7C99"/>
    <w:pPr>
      <w:ind w:left="720"/>
      <w:contextualSpacing/>
    </w:pPr>
  </w:style>
  <w:style w:type="paragraph" w:styleId="Header">
    <w:name w:val="header"/>
    <w:basedOn w:val="Normal"/>
    <w:link w:val="HeaderChar"/>
    <w:uiPriority w:val="99"/>
    <w:unhideWhenUsed/>
    <w:rsid w:val="005C7C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99"/>
  </w:style>
  <w:style w:type="paragraph" w:styleId="Footer">
    <w:name w:val="footer"/>
    <w:basedOn w:val="Normal"/>
    <w:link w:val="FooterChar"/>
    <w:uiPriority w:val="99"/>
    <w:unhideWhenUsed/>
    <w:rsid w:val="005C7C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99"/>
  </w:style>
  <w:style w:type="paragraph" w:styleId="FootnoteText">
    <w:name w:val="footnote text"/>
    <w:basedOn w:val="Normal"/>
    <w:link w:val="FootnoteTextChar"/>
    <w:uiPriority w:val="99"/>
    <w:semiHidden/>
    <w:unhideWhenUsed/>
    <w:rsid w:val="005C7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C99"/>
    <w:rPr>
      <w:sz w:val="20"/>
      <w:szCs w:val="20"/>
    </w:rPr>
  </w:style>
  <w:style w:type="character" w:styleId="FootnoteReference">
    <w:name w:val="footnote reference"/>
    <w:basedOn w:val="DefaultParagraphFont"/>
    <w:uiPriority w:val="99"/>
    <w:semiHidden/>
    <w:unhideWhenUsed/>
    <w:rsid w:val="005C7C99"/>
    <w:rPr>
      <w:vertAlign w:val="superscript"/>
    </w:rPr>
  </w:style>
  <w:style w:type="paragraph" w:styleId="BalloonText">
    <w:name w:val="Balloon Text"/>
    <w:basedOn w:val="Normal"/>
    <w:link w:val="BalloonTextChar"/>
    <w:uiPriority w:val="99"/>
    <w:semiHidden/>
    <w:unhideWhenUsed/>
    <w:rsid w:val="005C7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C99"/>
    <w:rPr>
      <w:rFonts w:ascii="Tahoma" w:hAnsi="Tahoma" w:cs="Tahoma"/>
      <w:sz w:val="16"/>
      <w:szCs w:val="16"/>
    </w:rPr>
  </w:style>
  <w:style w:type="paragraph" w:styleId="CommentText">
    <w:name w:val="annotation text"/>
    <w:basedOn w:val="Normal"/>
    <w:link w:val="CommentTextChar"/>
    <w:uiPriority w:val="99"/>
    <w:unhideWhenUsed/>
    <w:rsid w:val="005C7C99"/>
    <w:pPr>
      <w:spacing w:line="240" w:lineRule="auto"/>
    </w:pPr>
    <w:rPr>
      <w:sz w:val="20"/>
      <w:szCs w:val="20"/>
    </w:rPr>
  </w:style>
  <w:style w:type="character" w:customStyle="1" w:styleId="CommentTextChar">
    <w:name w:val="Comment Text Char"/>
    <w:basedOn w:val="DefaultParagraphFont"/>
    <w:link w:val="CommentText"/>
    <w:uiPriority w:val="99"/>
    <w:rsid w:val="005C7C99"/>
    <w:rPr>
      <w:sz w:val="20"/>
      <w:szCs w:val="20"/>
    </w:rPr>
  </w:style>
  <w:style w:type="character" w:customStyle="1" w:styleId="CommentSubjectChar">
    <w:name w:val="Comment Subject Char"/>
    <w:basedOn w:val="CommentTextChar"/>
    <w:link w:val="CommentSubject"/>
    <w:uiPriority w:val="99"/>
    <w:semiHidden/>
    <w:rsid w:val="005C7C99"/>
    <w:rPr>
      <w:b/>
      <w:bCs/>
      <w:sz w:val="20"/>
      <w:szCs w:val="20"/>
    </w:rPr>
  </w:style>
  <w:style w:type="paragraph" w:styleId="CommentSubject">
    <w:name w:val="annotation subject"/>
    <w:basedOn w:val="CommentText"/>
    <w:next w:val="CommentText"/>
    <w:link w:val="CommentSubjectChar"/>
    <w:uiPriority w:val="99"/>
    <w:semiHidden/>
    <w:unhideWhenUsed/>
    <w:rsid w:val="005C7C99"/>
    <w:rPr>
      <w:b/>
      <w:bCs/>
    </w:rPr>
  </w:style>
  <w:style w:type="paragraph" w:styleId="Title">
    <w:name w:val="Title"/>
    <w:aliases w:val="Virsraksts"/>
    <w:basedOn w:val="Normal"/>
    <w:next w:val="Normal"/>
    <w:link w:val="TitleChar"/>
    <w:uiPriority w:val="10"/>
    <w:qFormat/>
    <w:rsid w:val="005C7C99"/>
    <w:pPr>
      <w:spacing w:after="0"/>
      <w:jc w:val="center"/>
      <w:outlineLvl w:val="0"/>
    </w:pPr>
    <w:rPr>
      <w:rFonts w:ascii="Times New Roman" w:eastAsia="Times New Roman" w:hAnsi="Times New Roman" w:cs="Times New Roman"/>
      <w:b/>
      <w:bCs/>
      <w:kern w:val="28"/>
      <w:sz w:val="28"/>
      <w:szCs w:val="32"/>
    </w:rPr>
  </w:style>
  <w:style w:type="character" w:customStyle="1" w:styleId="TitleChar">
    <w:name w:val="Title Char"/>
    <w:aliases w:val="Virsraksts Char"/>
    <w:basedOn w:val="DefaultParagraphFont"/>
    <w:link w:val="Title"/>
    <w:uiPriority w:val="10"/>
    <w:rsid w:val="005C7C99"/>
    <w:rPr>
      <w:rFonts w:ascii="Times New Roman" w:eastAsia="Times New Roman" w:hAnsi="Times New Roman" w:cs="Times New Roman"/>
      <w:b/>
      <w:bCs/>
      <w:kern w:val="28"/>
      <w:sz w:val="28"/>
      <w:szCs w:val="32"/>
    </w:rPr>
  </w:style>
  <w:style w:type="character" w:styleId="Strong">
    <w:name w:val="Strong"/>
    <w:basedOn w:val="DefaultParagraphFont"/>
    <w:uiPriority w:val="22"/>
    <w:qFormat/>
    <w:rsid w:val="005C7C99"/>
    <w:rPr>
      <w:b/>
      <w:bCs/>
    </w:rPr>
  </w:style>
  <w:style w:type="paragraph" w:customStyle="1" w:styleId="Date1">
    <w:name w:val="Date1"/>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2">
    <w:name w:val="Date2"/>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3">
    <w:name w:val="Date3"/>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C7C99"/>
    <w:rPr>
      <w:i/>
      <w:iCs/>
    </w:rPr>
  </w:style>
  <w:style w:type="paragraph" w:customStyle="1" w:styleId="Date4">
    <w:name w:val="Date4"/>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ndnoteTextChar">
    <w:name w:val="Endnote Text Char"/>
    <w:basedOn w:val="DefaultParagraphFont"/>
    <w:link w:val="EndnoteText"/>
    <w:uiPriority w:val="99"/>
    <w:semiHidden/>
    <w:rsid w:val="005C7C99"/>
    <w:rPr>
      <w:sz w:val="20"/>
      <w:szCs w:val="20"/>
    </w:rPr>
  </w:style>
  <w:style w:type="paragraph" w:styleId="EndnoteText">
    <w:name w:val="endnote text"/>
    <w:basedOn w:val="Normal"/>
    <w:link w:val="EndnoteTextChar"/>
    <w:uiPriority w:val="99"/>
    <w:semiHidden/>
    <w:unhideWhenUsed/>
    <w:rsid w:val="005C7C99"/>
    <w:pPr>
      <w:spacing w:after="0" w:line="240" w:lineRule="auto"/>
    </w:pPr>
    <w:rPr>
      <w:sz w:val="20"/>
      <w:szCs w:val="20"/>
    </w:rPr>
  </w:style>
  <w:style w:type="paragraph" w:customStyle="1" w:styleId="lead">
    <w:name w:val="lead"/>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unhideWhenUsed/>
    <w:qFormat/>
    <w:rsid w:val="004B54BD"/>
    <w:pPr>
      <w:tabs>
        <w:tab w:val="left" w:pos="426"/>
        <w:tab w:val="left" w:pos="1843"/>
        <w:tab w:val="right" w:leader="dot" w:pos="9072"/>
      </w:tabs>
      <w:spacing w:after="100"/>
      <w:jc w:val="both"/>
    </w:pPr>
    <w:rPr>
      <w:rFonts w:asciiTheme="majorHAnsi" w:hAnsiTheme="majorHAnsi"/>
      <w:b/>
      <w:bCs/>
      <w:caps/>
      <w:sz w:val="24"/>
      <w:szCs w:val="24"/>
    </w:rPr>
  </w:style>
  <w:style w:type="paragraph" w:styleId="TOC2">
    <w:name w:val="toc 2"/>
    <w:basedOn w:val="Normal"/>
    <w:next w:val="Normal"/>
    <w:autoRedefine/>
    <w:uiPriority w:val="39"/>
    <w:unhideWhenUsed/>
    <w:qFormat/>
    <w:rsid w:val="005C7C99"/>
    <w:pPr>
      <w:spacing w:before="240" w:after="0"/>
    </w:pPr>
    <w:rPr>
      <w:b/>
      <w:bCs/>
      <w:sz w:val="20"/>
      <w:szCs w:val="20"/>
    </w:rPr>
  </w:style>
  <w:style w:type="paragraph" w:styleId="TOCHeading">
    <w:name w:val="TOC Heading"/>
    <w:basedOn w:val="Heading1"/>
    <w:next w:val="Normal"/>
    <w:uiPriority w:val="39"/>
    <w:unhideWhenUsed/>
    <w:qFormat/>
    <w:rsid w:val="005C7C99"/>
    <w:pPr>
      <w:outlineLvl w:val="9"/>
    </w:pPr>
    <w:rPr>
      <w:lang w:val="en-US" w:eastAsia="ja-JP"/>
    </w:rPr>
  </w:style>
  <w:style w:type="paragraph" w:styleId="TOC3">
    <w:name w:val="toc 3"/>
    <w:basedOn w:val="Normal"/>
    <w:next w:val="Normal"/>
    <w:autoRedefine/>
    <w:uiPriority w:val="39"/>
    <w:unhideWhenUsed/>
    <w:qFormat/>
    <w:rsid w:val="005C7C99"/>
    <w:pPr>
      <w:spacing w:after="0"/>
      <w:ind w:left="220"/>
    </w:pPr>
    <w:rPr>
      <w:sz w:val="20"/>
      <w:szCs w:val="20"/>
    </w:rPr>
  </w:style>
  <w:style w:type="character" w:customStyle="1" w:styleId="s35">
    <w:name w:val="s35"/>
    <w:rsid w:val="005C7C99"/>
  </w:style>
  <w:style w:type="paragraph" w:customStyle="1" w:styleId="naislab">
    <w:name w:val="naislab"/>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39"/>
    <w:unhideWhenUsed/>
    <w:rsid w:val="005C7C99"/>
    <w:pPr>
      <w:spacing w:after="0"/>
      <w:ind w:left="440"/>
    </w:pPr>
    <w:rPr>
      <w:sz w:val="20"/>
      <w:szCs w:val="20"/>
    </w:rPr>
  </w:style>
  <w:style w:type="paragraph" w:styleId="TOC5">
    <w:name w:val="toc 5"/>
    <w:basedOn w:val="Normal"/>
    <w:next w:val="Normal"/>
    <w:autoRedefine/>
    <w:uiPriority w:val="39"/>
    <w:unhideWhenUsed/>
    <w:rsid w:val="005C7C99"/>
    <w:pPr>
      <w:spacing w:after="0"/>
      <w:ind w:left="660"/>
    </w:pPr>
    <w:rPr>
      <w:sz w:val="20"/>
      <w:szCs w:val="20"/>
    </w:rPr>
  </w:style>
  <w:style w:type="paragraph" w:styleId="TOC6">
    <w:name w:val="toc 6"/>
    <w:basedOn w:val="Normal"/>
    <w:next w:val="Normal"/>
    <w:autoRedefine/>
    <w:uiPriority w:val="39"/>
    <w:unhideWhenUsed/>
    <w:rsid w:val="005C7C99"/>
    <w:pPr>
      <w:spacing w:after="0"/>
      <w:ind w:left="880"/>
    </w:pPr>
    <w:rPr>
      <w:sz w:val="20"/>
      <w:szCs w:val="20"/>
    </w:rPr>
  </w:style>
  <w:style w:type="paragraph" w:styleId="TOC7">
    <w:name w:val="toc 7"/>
    <w:basedOn w:val="Normal"/>
    <w:next w:val="Normal"/>
    <w:autoRedefine/>
    <w:uiPriority w:val="39"/>
    <w:unhideWhenUsed/>
    <w:rsid w:val="005C7C99"/>
    <w:pPr>
      <w:spacing w:after="0"/>
      <w:ind w:left="1100"/>
    </w:pPr>
    <w:rPr>
      <w:sz w:val="20"/>
      <w:szCs w:val="20"/>
    </w:rPr>
  </w:style>
  <w:style w:type="paragraph" w:styleId="TOC8">
    <w:name w:val="toc 8"/>
    <w:basedOn w:val="Normal"/>
    <w:next w:val="Normal"/>
    <w:autoRedefine/>
    <w:uiPriority w:val="39"/>
    <w:unhideWhenUsed/>
    <w:rsid w:val="005C7C99"/>
    <w:pPr>
      <w:spacing w:after="0"/>
      <w:ind w:left="1320"/>
    </w:pPr>
    <w:rPr>
      <w:sz w:val="20"/>
      <w:szCs w:val="20"/>
    </w:rPr>
  </w:style>
  <w:style w:type="paragraph" w:styleId="TOC9">
    <w:name w:val="toc 9"/>
    <w:basedOn w:val="Normal"/>
    <w:next w:val="Normal"/>
    <w:autoRedefine/>
    <w:uiPriority w:val="39"/>
    <w:unhideWhenUsed/>
    <w:rsid w:val="005C7C99"/>
    <w:pPr>
      <w:spacing w:after="0"/>
      <w:ind w:left="1540"/>
    </w:pPr>
    <w:rPr>
      <w:sz w:val="20"/>
      <w:szCs w:val="20"/>
    </w:rPr>
  </w:style>
  <w:style w:type="paragraph" w:customStyle="1" w:styleId="tv213">
    <w:name w:val="tv213"/>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65D4B"/>
    <w:rPr>
      <w:sz w:val="16"/>
      <w:szCs w:val="16"/>
    </w:rPr>
  </w:style>
  <w:style w:type="table" w:styleId="TableGrid">
    <w:name w:val="Table Grid"/>
    <w:basedOn w:val="TableNormal"/>
    <w:uiPriority w:val="59"/>
    <w:rsid w:val="0076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
    <w:rsid w:val="005A13EC"/>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
    <w:rsid w:val="005A13EC"/>
    <w:pPr>
      <w:widowControl w:val="0"/>
      <w:shd w:val="clear" w:color="auto" w:fill="FFFFFF"/>
      <w:spacing w:before="720" w:after="0" w:line="322" w:lineRule="exact"/>
      <w:ind w:hanging="360"/>
      <w:jc w:val="both"/>
    </w:pPr>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E666C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99"/>
  </w:style>
  <w:style w:type="paragraph" w:styleId="Heading1">
    <w:name w:val="heading 1"/>
    <w:aliases w:val="Apakšvirsraksts"/>
    <w:basedOn w:val="Normal"/>
    <w:next w:val="Normal"/>
    <w:link w:val="Heading1Char"/>
    <w:uiPriority w:val="9"/>
    <w:qFormat/>
    <w:rsid w:val="005C7C99"/>
    <w:pPr>
      <w:keepNext/>
      <w:keepLines/>
      <w:spacing w:before="240" w:after="0" w:line="24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5C7C99"/>
    <w:pPr>
      <w:keepNext/>
      <w:keepLines/>
      <w:spacing w:before="200" w:after="0"/>
      <w:jc w:val="cente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nhideWhenUsed/>
    <w:qFormat/>
    <w:rsid w:val="005C7C99"/>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666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kšvirsraksts Char"/>
    <w:basedOn w:val="DefaultParagraphFont"/>
    <w:link w:val="Heading1"/>
    <w:uiPriority w:val="9"/>
    <w:rsid w:val="005C7C99"/>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5C7C99"/>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rsid w:val="005C7C99"/>
    <w:rPr>
      <w:rFonts w:ascii="Cambria" w:eastAsia="Times New Roman" w:hAnsi="Cambria" w:cs="Times New Roman"/>
      <w:b/>
      <w:bCs/>
      <w:sz w:val="26"/>
      <w:szCs w:val="26"/>
    </w:rPr>
  </w:style>
  <w:style w:type="paragraph" w:customStyle="1" w:styleId="Default">
    <w:name w:val="Default"/>
    <w:rsid w:val="005C7C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5C7C99"/>
    <w:pPr>
      <w:spacing w:after="0" w:line="240" w:lineRule="auto"/>
    </w:pPr>
  </w:style>
  <w:style w:type="character" w:customStyle="1" w:styleId="NoSpacingChar">
    <w:name w:val="No Spacing Char"/>
    <w:basedOn w:val="DefaultParagraphFont"/>
    <w:link w:val="NoSpacing"/>
    <w:uiPriority w:val="1"/>
    <w:rsid w:val="005C7C99"/>
  </w:style>
  <w:style w:type="character" w:styleId="Hyperlink">
    <w:name w:val="Hyperlink"/>
    <w:basedOn w:val="DefaultParagraphFont"/>
    <w:uiPriority w:val="99"/>
    <w:unhideWhenUsed/>
    <w:rsid w:val="005C7C99"/>
    <w:rPr>
      <w:color w:val="0000FF" w:themeColor="hyperlink"/>
      <w:u w:val="single"/>
    </w:rPr>
  </w:style>
  <w:style w:type="paragraph" w:styleId="NormalWeb">
    <w:name w:val="Normal (Web)"/>
    <w:basedOn w:val="Normal"/>
    <w:uiPriority w:val="99"/>
    <w:rsid w:val="005C7C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5">
    <w:name w:val="c5"/>
    <w:basedOn w:val="DefaultParagraphFont"/>
    <w:rsid w:val="005C7C99"/>
  </w:style>
  <w:style w:type="paragraph" w:styleId="ListParagraph">
    <w:name w:val="List Paragraph"/>
    <w:basedOn w:val="Normal"/>
    <w:uiPriority w:val="34"/>
    <w:qFormat/>
    <w:rsid w:val="005C7C99"/>
    <w:pPr>
      <w:ind w:left="720"/>
      <w:contextualSpacing/>
    </w:pPr>
  </w:style>
  <w:style w:type="paragraph" w:styleId="Header">
    <w:name w:val="header"/>
    <w:basedOn w:val="Normal"/>
    <w:link w:val="HeaderChar"/>
    <w:uiPriority w:val="99"/>
    <w:unhideWhenUsed/>
    <w:rsid w:val="005C7C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99"/>
  </w:style>
  <w:style w:type="paragraph" w:styleId="Footer">
    <w:name w:val="footer"/>
    <w:basedOn w:val="Normal"/>
    <w:link w:val="FooterChar"/>
    <w:uiPriority w:val="99"/>
    <w:unhideWhenUsed/>
    <w:rsid w:val="005C7C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99"/>
  </w:style>
  <w:style w:type="paragraph" w:styleId="FootnoteText">
    <w:name w:val="footnote text"/>
    <w:basedOn w:val="Normal"/>
    <w:link w:val="FootnoteTextChar"/>
    <w:uiPriority w:val="99"/>
    <w:semiHidden/>
    <w:unhideWhenUsed/>
    <w:rsid w:val="005C7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C99"/>
    <w:rPr>
      <w:sz w:val="20"/>
      <w:szCs w:val="20"/>
    </w:rPr>
  </w:style>
  <w:style w:type="character" w:styleId="FootnoteReference">
    <w:name w:val="footnote reference"/>
    <w:basedOn w:val="DefaultParagraphFont"/>
    <w:uiPriority w:val="99"/>
    <w:semiHidden/>
    <w:unhideWhenUsed/>
    <w:rsid w:val="005C7C99"/>
    <w:rPr>
      <w:vertAlign w:val="superscript"/>
    </w:rPr>
  </w:style>
  <w:style w:type="paragraph" w:styleId="BalloonText">
    <w:name w:val="Balloon Text"/>
    <w:basedOn w:val="Normal"/>
    <w:link w:val="BalloonTextChar"/>
    <w:uiPriority w:val="99"/>
    <w:semiHidden/>
    <w:unhideWhenUsed/>
    <w:rsid w:val="005C7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C99"/>
    <w:rPr>
      <w:rFonts w:ascii="Tahoma" w:hAnsi="Tahoma" w:cs="Tahoma"/>
      <w:sz w:val="16"/>
      <w:szCs w:val="16"/>
    </w:rPr>
  </w:style>
  <w:style w:type="paragraph" w:styleId="CommentText">
    <w:name w:val="annotation text"/>
    <w:basedOn w:val="Normal"/>
    <w:link w:val="CommentTextChar"/>
    <w:uiPriority w:val="99"/>
    <w:unhideWhenUsed/>
    <w:rsid w:val="005C7C99"/>
    <w:pPr>
      <w:spacing w:line="240" w:lineRule="auto"/>
    </w:pPr>
    <w:rPr>
      <w:sz w:val="20"/>
      <w:szCs w:val="20"/>
    </w:rPr>
  </w:style>
  <w:style w:type="character" w:customStyle="1" w:styleId="CommentTextChar">
    <w:name w:val="Comment Text Char"/>
    <w:basedOn w:val="DefaultParagraphFont"/>
    <w:link w:val="CommentText"/>
    <w:uiPriority w:val="99"/>
    <w:rsid w:val="005C7C99"/>
    <w:rPr>
      <w:sz w:val="20"/>
      <w:szCs w:val="20"/>
    </w:rPr>
  </w:style>
  <w:style w:type="character" w:customStyle="1" w:styleId="CommentSubjectChar">
    <w:name w:val="Comment Subject Char"/>
    <w:basedOn w:val="CommentTextChar"/>
    <w:link w:val="CommentSubject"/>
    <w:uiPriority w:val="99"/>
    <w:semiHidden/>
    <w:rsid w:val="005C7C99"/>
    <w:rPr>
      <w:b/>
      <w:bCs/>
      <w:sz w:val="20"/>
      <w:szCs w:val="20"/>
    </w:rPr>
  </w:style>
  <w:style w:type="paragraph" w:styleId="CommentSubject">
    <w:name w:val="annotation subject"/>
    <w:basedOn w:val="CommentText"/>
    <w:next w:val="CommentText"/>
    <w:link w:val="CommentSubjectChar"/>
    <w:uiPriority w:val="99"/>
    <w:semiHidden/>
    <w:unhideWhenUsed/>
    <w:rsid w:val="005C7C99"/>
    <w:rPr>
      <w:b/>
      <w:bCs/>
    </w:rPr>
  </w:style>
  <w:style w:type="paragraph" w:styleId="Title">
    <w:name w:val="Title"/>
    <w:aliases w:val="Virsraksts"/>
    <w:basedOn w:val="Normal"/>
    <w:next w:val="Normal"/>
    <w:link w:val="TitleChar"/>
    <w:uiPriority w:val="10"/>
    <w:qFormat/>
    <w:rsid w:val="005C7C99"/>
    <w:pPr>
      <w:spacing w:after="0"/>
      <w:jc w:val="center"/>
      <w:outlineLvl w:val="0"/>
    </w:pPr>
    <w:rPr>
      <w:rFonts w:ascii="Times New Roman" w:eastAsia="Times New Roman" w:hAnsi="Times New Roman" w:cs="Times New Roman"/>
      <w:b/>
      <w:bCs/>
      <w:kern w:val="28"/>
      <w:sz w:val="28"/>
      <w:szCs w:val="32"/>
    </w:rPr>
  </w:style>
  <w:style w:type="character" w:customStyle="1" w:styleId="TitleChar">
    <w:name w:val="Title Char"/>
    <w:aliases w:val="Virsraksts Char"/>
    <w:basedOn w:val="DefaultParagraphFont"/>
    <w:link w:val="Title"/>
    <w:uiPriority w:val="10"/>
    <w:rsid w:val="005C7C99"/>
    <w:rPr>
      <w:rFonts w:ascii="Times New Roman" w:eastAsia="Times New Roman" w:hAnsi="Times New Roman" w:cs="Times New Roman"/>
      <w:b/>
      <w:bCs/>
      <w:kern w:val="28"/>
      <w:sz w:val="28"/>
      <w:szCs w:val="32"/>
    </w:rPr>
  </w:style>
  <w:style w:type="character" w:styleId="Strong">
    <w:name w:val="Strong"/>
    <w:basedOn w:val="DefaultParagraphFont"/>
    <w:uiPriority w:val="22"/>
    <w:qFormat/>
    <w:rsid w:val="005C7C99"/>
    <w:rPr>
      <w:b/>
      <w:bCs/>
    </w:rPr>
  </w:style>
  <w:style w:type="paragraph" w:customStyle="1" w:styleId="Date1">
    <w:name w:val="Date1"/>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2">
    <w:name w:val="Date2"/>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3">
    <w:name w:val="Date3"/>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C7C99"/>
    <w:rPr>
      <w:i/>
      <w:iCs/>
    </w:rPr>
  </w:style>
  <w:style w:type="paragraph" w:customStyle="1" w:styleId="Date4">
    <w:name w:val="Date4"/>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ndnoteTextChar">
    <w:name w:val="Endnote Text Char"/>
    <w:basedOn w:val="DefaultParagraphFont"/>
    <w:link w:val="EndnoteText"/>
    <w:uiPriority w:val="99"/>
    <w:semiHidden/>
    <w:rsid w:val="005C7C99"/>
    <w:rPr>
      <w:sz w:val="20"/>
      <w:szCs w:val="20"/>
    </w:rPr>
  </w:style>
  <w:style w:type="paragraph" w:styleId="EndnoteText">
    <w:name w:val="endnote text"/>
    <w:basedOn w:val="Normal"/>
    <w:link w:val="EndnoteTextChar"/>
    <w:uiPriority w:val="99"/>
    <w:semiHidden/>
    <w:unhideWhenUsed/>
    <w:rsid w:val="005C7C99"/>
    <w:pPr>
      <w:spacing w:after="0" w:line="240" w:lineRule="auto"/>
    </w:pPr>
    <w:rPr>
      <w:sz w:val="20"/>
      <w:szCs w:val="20"/>
    </w:rPr>
  </w:style>
  <w:style w:type="paragraph" w:customStyle="1" w:styleId="lead">
    <w:name w:val="lead"/>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unhideWhenUsed/>
    <w:qFormat/>
    <w:rsid w:val="004B54BD"/>
    <w:pPr>
      <w:tabs>
        <w:tab w:val="left" w:pos="426"/>
        <w:tab w:val="left" w:pos="1843"/>
        <w:tab w:val="right" w:leader="dot" w:pos="9072"/>
      </w:tabs>
      <w:spacing w:after="100"/>
      <w:jc w:val="both"/>
    </w:pPr>
    <w:rPr>
      <w:rFonts w:asciiTheme="majorHAnsi" w:hAnsiTheme="majorHAnsi"/>
      <w:b/>
      <w:bCs/>
      <w:caps/>
      <w:sz w:val="24"/>
      <w:szCs w:val="24"/>
    </w:rPr>
  </w:style>
  <w:style w:type="paragraph" w:styleId="TOC2">
    <w:name w:val="toc 2"/>
    <w:basedOn w:val="Normal"/>
    <w:next w:val="Normal"/>
    <w:autoRedefine/>
    <w:uiPriority w:val="39"/>
    <w:unhideWhenUsed/>
    <w:qFormat/>
    <w:rsid w:val="005C7C99"/>
    <w:pPr>
      <w:spacing w:before="240" w:after="0"/>
    </w:pPr>
    <w:rPr>
      <w:b/>
      <w:bCs/>
      <w:sz w:val="20"/>
      <w:szCs w:val="20"/>
    </w:rPr>
  </w:style>
  <w:style w:type="paragraph" w:styleId="TOCHeading">
    <w:name w:val="TOC Heading"/>
    <w:basedOn w:val="Heading1"/>
    <w:next w:val="Normal"/>
    <w:uiPriority w:val="39"/>
    <w:unhideWhenUsed/>
    <w:qFormat/>
    <w:rsid w:val="005C7C99"/>
    <w:pPr>
      <w:outlineLvl w:val="9"/>
    </w:pPr>
    <w:rPr>
      <w:lang w:val="en-US" w:eastAsia="ja-JP"/>
    </w:rPr>
  </w:style>
  <w:style w:type="paragraph" w:styleId="TOC3">
    <w:name w:val="toc 3"/>
    <w:basedOn w:val="Normal"/>
    <w:next w:val="Normal"/>
    <w:autoRedefine/>
    <w:uiPriority w:val="39"/>
    <w:unhideWhenUsed/>
    <w:qFormat/>
    <w:rsid w:val="005C7C99"/>
    <w:pPr>
      <w:spacing w:after="0"/>
      <w:ind w:left="220"/>
    </w:pPr>
    <w:rPr>
      <w:sz w:val="20"/>
      <w:szCs w:val="20"/>
    </w:rPr>
  </w:style>
  <w:style w:type="character" w:customStyle="1" w:styleId="s35">
    <w:name w:val="s35"/>
    <w:rsid w:val="005C7C99"/>
  </w:style>
  <w:style w:type="paragraph" w:customStyle="1" w:styleId="naislab">
    <w:name w:val="naislab"/>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39"/>
    <w:unhideWhenUsed/>
    <w:rsid w:val="005C7C99"/>
    <w:pPr>
      <w:spacing w:after="0"/>
      <w:ind w:left="440"/>
    </w:pPr>
    <w:rPr>
      <w:sz w:val="20"/>
      <w:szCs w:val="20"/>
    </w:rPr>
  </w:style>
  <w:style w:type="paragraph" w:styleId="TOC5">
    <w:name w:val="toc 5"/>
    <w:basedOn w:val="Normal"/>
    <w:next w:val="Normal"/>
    <w:autoRedefine/>
    <w:uiPriority w:val="39"/>
    <w:unhideWhenUsed/>
    <w:rsid w:val="005C7C99"/>
    <w:pPr>
      <w:spacing w:after="0"/>
      <w:ind w:left="660"/>
    </w:pPr>
    <w:rPr>
      <w:sz w:val="20"/>
      <w:szCs w:val="20"/>
    </w:rPr>
  </w:style>
  <w:style w:type="paragraph" w:styleId="TOC6">
    <w:name w:val="toc 6"/>
    <w:basedOn w:val="Normal"/>
    <w:next w:val="Normal"/>
    <w:autoRedefine/>
    <w:uiPriority w:val="39"/>
    <w:unhideWhenUsed/>
    <w:rsid w:val="005C7C99"/>
    <w:pPr>
      <w:spacing w:after="0"/>
      <w:ind w:left="880"/>
    </w:pPr>
    <w:rPr>
      <w:sz w:val="20"/>
      <w:szCs w:val="20"/>
    </w:rPr>
  </w:style>
  <w:style w:type="paragraph" w:styleId="TOC7">
    <w:name w:val="toc 7"/>
    <w:basedOn w:val="Normal"/>
    <w:next w:val="Normal"/>
    <w:autoRedefine/>
    <w:uiPriority w:val="39"/>
    <w:unhideWhenUsed/>
    <w:rsid w:val="005C7C99"/>
    <w:pPr>
      <w:spacing w:after="0"/>
      <w:ind w:left="1100"/>
    </w:pPr>
    <w:rPr>
      <w:sz w:val="20"/>
      <w:szCs w:val="20"/>
    </w:rPr>
  </w:style>
  <w:style w:type="paragraph" w:styleId="TOC8">
    <w:name w:val="toc 8"/>
    <w:basedOn w:val="Normal"/>
    <w:next w:val="Normal"/>
    <w:autoRedefine/>
    <w:uiPriority w:val="39"/>
    <w:unhideWhenUsed/>
    <w:rsid w:val="005C7C99"/>
    <w:pPr>
      <w:spacing w:after="0"/>
      <w:ind w:left="1320"/>
    </w:pPr>
    <w:rPr>
      <w:sz w:val="20"/>
      <w:szCs w:val="20"/>
    </w:rPr>
  </w:style>
  <w:style w:type="paragraph" w:styleId="TOC9">
    <w:name w:val="toc 9"/>
    <w:basedOn w:val="Normal"/>
    <w:next w:val="Normal"/>
    <w:autoRedefine/>
    <w:uiPriority w:val="39"/>
    <w:unhideWhenUsed/>
    <w:rsid w:val="005C7C99"/>
    <w:pPr>
      <w:spacing w:after="0"/>
      <w:ind w:left="1540"/>
    </w:pPr>
    <w:rPr>
      <w:sz w:val="20"/>
      <w:szCs w:val="20"/>
    </w:rPr>
  </w:style>
  <w:style w:type="paragraph" w:customStyle="1" w:styleId="tv213">
    <w:name w:val="tv213"/>
    <w:basedOn w:val="Normal"/>
    <w:rsid w:val="005C7C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65D4B"/>
    <w:rPr>
      <w:sz w:val="16"/>
      <w:szCs w:val="16"/>
    </w:rPr>
  </w:style>
  <w:style w:type="table" w:styleId="TableGrid">
    <w:name w:val="Table Grid"/>
    <w:basedOn w:val="TableNormal"/>
    <w:uiPriority w:val="59"/>
    <w:rsid w:val="0076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
    <w:rsid w:val="005A13EC"/>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
    <w:rsid w:val="005A13EC"/>
    <w:pPr>
      <w:widowControl w:val="0"/>
      <w:shd w:val="clear" w:color="auto" w:fill="FFFFFF"/>
      <w:spacing w:before="720" w:after="0" w:line="322" w:lineRule="exact"/>
      <w:ind w:hanging="360"/>
      <w:jc w:val="both"/>
    </w:pPr>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E666C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68351">
      <w:bodyDiv w:val="1"/>
      <w:marLeft w:val="0"/>
      <w:marRight w:val="0"/>
      <w:marTop w:val="0"/>
      <w:marBottom w:val="0"/>
      <w:divBdr>
        <w:top w:val="none" w:sz="0" w:space="0" w:color="auto"/>
        <w:left w:val="none" w:sz="0" w:space="0" w:color="auto"/>
        <w:bottom w:val="none" w:sz="0" w:space="0" w:color="auto"/>
        <w:right w:val="none" w:sz="0" w:space="0" w:color="auto"/>
      </w:divBdr>
    </w:div>
    <w:div w:id="655569215">
      <w:bodyDiv w:val="1"/>
      <w:marLeft w:val="0"/>
      <w:marRight w:val="0"/>
      <w:marTop w:val="0"/>
      <w:marBottom w:val="0"/>
      <w:divBdr>
        <w:top w:val="none" w:sz="0" w:space="0" w:color="auto"/>
        <w:left w:val="none" w:sz="0" w:space="0" w:color="auto"/>
        <w:bottom w:val="none" w:sz="0" w:space="0" w:color="auto"/>
        <w:right w:val="none" w:sz="0" w:space="0" w:color="auto"/>
      </w:divBdr>
    </w:div>
    <w:div w:id="21195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nodc.org/unodc/en/corruption/COSP/session7.html" TargetMode="External"/><Relationship Id="rId17" Type="http://schemas.openxmlformats.org/officeDocument/2006/relationships/hyperlink" Target="http://likumi.lv/ta/id/57573-operativas-darbibas-liku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ta/id/57573-operativas-darbibas-likum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020@knab.gov.lv"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mailto:126@knab.gov.lv" TargetMode="External"/><Relationship Id="rId10" Type="http://schemas.openxmlformats.org/officeDocument/2006/relationships/chart" Target="charts/chart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knab.gov.lv/upload/2018/strategija_2018_2019_apstiprinata.pdf" TargetMode="External"/><Relationship Id="rId1" Type="http://schemas.openxmlformats.org/officeDocument/2006/relationships/hyperlink" Target="http://www.oecd.org/corruption/acn/istanbulactionpla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Saņemtie iesniegumi</c:v>
                </c:pt>
              </c:strCache>
            </c:strRef>
          </c:tx>
          <c:spPr>
            <a:solidFill>
              <a:schemeClr val="accent4">
                <a:lumMod val="50000"/>
              </a:schemeClr>
            </a:solidFill>
          </c:spPr>
          <c:invertIfNegative val="0"/>
          <c:dLbls>
            <c:txPr>
              <a:bodyPr/>
              <a:lstStyle/>
              <a:p>
                <a:pPr>
                  <a:defRPr sz="1200"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Sheet1!$A$2:$A$6</c:f>
              <c:strCache>
                <c:ptCount val="5"/>
                <c:pt idx="0">
                  <c:v>2013.gads</c:v>
                </c:pt>
                <c:pt idx="1">
                  <c:v>2014.gads</c:v>
                </c:pt>
                <c:pt idx="2">
                  <c:v>2015.gads</c:v>
                </c:pt>
                <c:pt idx="3">
                  <c:v>2016.gads</c:v>
                </c:pt>
                <c:pt idx="4">
                  <c:v>2017.gads</c:v>
                </c:pt>
              </c:strCache>
            </c:strRef>
          </c:cat>
          <c:val>
            <c:numRef>
              <c:f>Sheet1!$B$2:$B$6</c:f>
              <c:numCache>
                <c:formatCode>General</c:formatCode>
                <c:ptCount val="5"/>
                <c:pt idx="0">
                  <c:v>1033</c:v>
                </c:pt>
                <c:pt idx="1">
                  <c:v>1164</c:v>
                </c:pt>
                <c:pt idx="2">
                  <c:v>1160</c:v>
                </c:pt>
                <c:pt idx="3">
                  <c:v>1175</c:v>
                </c:pt>
                <c:pt idx="4">
                  <c:v>1434</c:v>
                </c:pt>
              </c:numCache>
            </c:numRef>
          </c:val>
        </c:ser>
        <c:dLbls>
          <c:showLegendKey val="0"/>
          <c:showVal val="0"/>
          <c:showCatName val="0"/>
          <c:showSerName val="0"/>
          <c:showPercent val="0"/>
          <c:showBubbleSize val="0"/>
        </c:dLbls>
        <c:gapWidth val="150"/>
        <c:axId val="39508992"/>
        <c:axId val="40764160"/>
      </c:barChart>
      <c:lineChart>
        <c:grouping val="standard"/>
        <c:varyColors val="0"/>
        <c:ser>
          <c:idx val="1"/>
          <c:order val="1"/>
          <c:tx>
            <c:strRef>
              <c:f>Sheet1!$C$1</c:f>
              <c:strCache>
                <c:ptCount val="1"/>
                <c:pt idx="0">
                  <c:v>Pieņemtie apmeklētāji</c:v>
                </c:pt>
              </c:strCache>
            </c:strRef>
          </c:tx>
          <c:spPr>
            <a:ln>
              <a:solidFill>
                <a:schemeClr val="accent3">
                  <a:lumMod val="40000"/>
                  <a:lumOff val="60000"/>
                </a:schemeClr>
              </a:solidFill>
            </a:ln>
          </c:spPr>
          <c:marker>
            <c:symbol val="triangle"/>
            <c:size val="9"/>
            <c:spPr>
              <a:solidFill>
                <a:schemeClr val="accent3">
                  <a:lumMod val="40000"/>
                  <a:lumOff val="60000"/>
                </a:schemeClr>
              </a:solidFill>
              <a:ln>
                <a:solidFill>
                  <a:schemeClr val="accent3">
                    <a:lumMod val="40000"/>
                    <a:lumOff val="60000"/>
                  </a:schemeClr>
                </a:solidFill>
              </a:ln>
            </c:spPr>
          </c:marker>
          <c:dLbls>
            <c:txPr>
              <a:bodyPr/>
              <a:lstStyle/>
              <a:p>
                <a:pPr>
                  <a:defRPr sz="1200" b="1">
                    <a:solidFill>
                      <a:schemeClr val="accent3">
                        <a:lumMod val="40000"/>
                        <a:lumOff val="60000"/>
                      </a:schemeClr>
                    </a:solidFill>
                    <a:latin typeface="Times New Roman" panose="02020603050405020304" pitchFamily="18" charset="0"/>
                    <a:cs typeface="Times New Roman" panose="02020603050405020304" pitchFamily="18" charset="0"/>
                  </a:defRPr>
                </a:pPr>
                <a:endParaRPr lang="lv-LV"/>
              </a:p>
            </c:txPr>
            <c:dLblPos val="b"/>
            <c:showLegendKey val="0"/>
            <c:showVal val="1"/>
            <c:showCatName val="0"/>
            <c:showSerName val="0"/>
            <c:showPercent val="0"/>
            <c:showBubbleSize val="0"/>
            <c:showLeaderLines val="0"/>
          </c:dLbls>
          <c:cat>
            <c:strRef>
              <c:f>Sheet1!$A$2:$A$6</c:f>
              <c:strCache>
                <c:ptCount val="5"/>
                <c:pt idx="0">
                  <c:v>2013.gads</c:v>
                </c:pt>
                <c:pt idx="1">
                  <c:v>2014.gads</c:v>
                </c:pt>
                <c:pt idx="2">
                  <c:v>2015.gads</c:v>
                </c:pt>
                <c:pt idx="3">
                  <c:v>2016.gads</c:v>
                </c:pt>
                <c:pt idx="4">
                  <c:v>2017.gads</c:v>
                </c:pt>
              </c:strCache>
            </c:strRef>
          </c:cat>
          <c:val>
            <c:numRef>
              <c:f>Sheet1!$C$2:$C$6</c:f>
              <c:numCache>
                <c:formatCode>General</c:formatCode>
                <c:ptCount val="5"/>
                <c:pt idx="0">
                  <c:v>170</c:v>
                </c:pt>
                <c:pt idx="1">
                  <c:v>106</c:v>
                </c:pt>
                <c:pt idx="2">
                  <c:v>110</c:v>
                </c:pt>
                <c:pt idx="3">
                  <c:v>75</c:v>
                </c:pt>
                <c:pt idx="4">
                  <c:v>83</c:v>
                </c:pt>
              </c:numCache>
            </c:numRef>
          </c:val>
          <c:smooth val="0"/>
        </c:ser>
        <c:dLbls>
          <c:showLegendKey val="0"/>
          <c:showVal val="0"/>
          <c:showCatName val="0"/>
          <c:showSerName val="0"/>
          <c:showPercent val="0"/>
          <c:showBubbleSize val="0"/>
        </c:dLbls>
        <c:marker val="1"/>
        <c:smooth val="0"/>
        <c:axId val="118497280"/>
        <c:axId val="40765696"/>
      </c:lineChart>
      <c:catAx>
        <c:axId val="39508992"/>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40764160"/>
        <c:crossesAt val="0"/>
        <c:auto val="1"/>
        <c:lblAlgn val="ctr"/>
        <c:lblOffset val="100"/>
        <c:noMultiLvlLbl val="0"/>
      </c:catAx>
      <c:valAx>
        <c:axId val="40764160"/>
        <c:scaling>
          <c:orientation val="minMax"/>
          <c:max val="1500"/>
          <c:min val="0"/>
        </c:scaling>
        <c:delete val="0"/>
        <c:axPos val="l"/>
        <c:majorGridlines>
          <c:spPr>
            <a:ln>
              <a:noFill/>
            </a:ln>
          </c:spPr>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39508992"/>
        <c:crosses val="autoZero"/>
        <c:crossBetween val="between"/>
        <c:majorUnit val="300"/>
      </c:valAx>
      <c:valAx>
        <c:axId val="40765696"/>
        <c:scaling>
          <c:orientation val="minMax"/>
          <c:max val="300"/>
        </c:scaling>
        <c:delete val="0"/>
        <c:axPos val="r"/>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118497280"/>
        <c:crosses val="max"/>
        <c:crossBetween val="between"/>
      </c:valAx>
      <c:catAx>
        <c:axId val="118497280"/>
        <c:scaling>
          <c:orientation val="minMax"/>
        </c:scaling>
        <c:delete val="1"/>
        <c:axPos val="b"/>
        <c:majorTickMark val="out"/>
        <c:minorTickMark val="none"/>
        <c:tickLblPos val="nextTo"/>
        <c:crossAx val="40765696"/>
        <c:crosses val="autoZero"/>
        <c:auto val="1"/>
        <c:lblAlgn val="ctr"/>
        <c:lblOffset val="100"/>
        <c:noMultiLvlLbl val="0"/>
      </c:catAx>
    </c:plotArea>
    <c:legend>
      <c:legendPos val="b"/>
      <c:layout/>
      <c:overlay val="0"/>
      <c:txPr>
        <a:bodyPr/>
        <a:lstStyle/>
        <a:p>
          <a:pPr>
            <a:defRPr sz="11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Sheet1!$B$25</c:f>
              <c:strCache>
                <c:ptCount val="1"/>
                <c:pt idx="0">
                  <c:v>Semināru skaits</c:v>
                </c:pt>
              </c:strCache>
            </c:strRef>
          </c:tx>
          <c:spPr>
            <a:solidFill>
              <a:schemeClr val="accent4">
                <a:lumMod val="50000"/>
              </a:schemeClr>
            </a:solidFill>
          </c:spPr>
          <c:invertIfNegative val="0"/>
          <c:dLbls>
            <c:txPr>
              <a:bodyPr/>
              <a:lstStyle/>
              <a:p>
                <a:pPr>
                  <a:defRPr sz="1200"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Sheet1!$A$26:$A$30</c:f>
              <c:strCache>
                <c:ptCount val="5"/>
                <c:pt idx="0">
                  <c:v>2013.gads</c:v>
                </c:pt>
                <c:pt idx="1">
                  <c:v>2014.gads</c:v>
                </c:pt>
                <c:pt idx="2">
                  <c:v>2015.gads</c:v>
                </c:pt>
                <c:pt idx="3">
                  <c:v>2016.gads</c:v>
                </c:pt>
                <c:pt idx="4">
                  <c:v>2017.gads</c:v>
                </c:pt>
              </c:strCache>
            </c:strRef>
          </c:cat>
          <c:val>
            <c:numRef>
              <c:f>Sheet1!$B$26:$B$30</c:f>
              <c:numCache>
                <c:formatCode>General</c:formatCode>
                <c:ptCount val="5"/>
                <c:pt idx="0">
                  <c:v>91</c:v>
                </c:pt>
                <c:pt idx="1">
                  <c:v>115</c:v>
                </c:pt>
                <c:pt idx="2">
                  <c:v>110</c:v>
                </c:pt>
                <c:pt idx="3">
                  <c:v>115</c:v>
                </c:pt>
                <c:pt idx="4">
                  <c:v>118</c:v>
                </c:pt>
              </c:numCache>
            </c:numRef>
          </c:val>
        </c:ser>
        <c:dLbls>
          <c:showLegendKey val="0"/>
          <c:showVal val="0"/>
          <c:showCatName val="0"/>
          <c:showSerName val="0"/>
          <c:showPercent val="0"/>
          <c:showBubbleSize val="0"/>
        </c:dLbls>
        <c:gapWidth val="150"/>
        <c:axId val="42835328"/>
        <c:axId val="42837120"/>
      </c:barChart>
      <c:lineChart>
        <c:grouping val="standard"/>
        <c:varyColors val="0"/>
        <c:ser>
          <c:idx val="1"/>
          <c:order val="1"/>
          <c:tx>
            <c:strRef>
              <c:f>Sheet1!$C$25</c:f>
              <c:strCache>
                <c:ptCount val="1"/>
                <c:pt idx="0">
                  <c:v>Dalībnieku skaits</c:v>
                </c:pt>
              </c:strCache>
            </c:strRef>
          </c:tx>
          <c:spPr>
            <a:ln>
              <a:solidFill>
                <a:schemeClr val="accent3">
                  <a:lumMod val="40000"/>
                  <a:lumOff val="60000"/>
                </a:schemeClr>
              </a:solidFill>
            </a:ln>
          </c:spPr>
          <c:marker>
            <c:symbol val="triangle"/>
            <c:size val="9"/>
            <c:spPr>
              <a:solidFill>
                <a:schemeClr val="accent3">
                  <a:lumMod val="40000"/>
                  <a:lumOff val="60000"/>
                </a:schemeClr>
              </a:solidFill>
              <a:ln>
                <a:solidFill>
                  <a:schemeClr val="accent3">
                    <a:lumMod val="40000"/>
                    <a:lumOff val="60000"/>
                  </a:schemeClr>
                </a:solidFill>
              </a:ln>
            </c:spPr>
          </c:marker>
          <c:dLbls>
            <c:dLbl>
              <c:idx val="3"/>
              <c:layout>
                <c:manualLayout>
                  <c:x val="-5.0675675675675678E-2"/>
                  <c:y val="0.13243601384639253"/>
                </c:manualLayout>
              </c:layout>
              <c:dLblPos val="r"/>
              <c:showLegendKey val="0"/>
              <c:showVal val="1"/>
              <c:showCatName val="0"/>
              <c:showSerName val="0"/>
              <c:showPercent val="0"/>
              <c:showBubbleSize val="0"/>
            </c:dLbl>
            <c:txPr>
              <a:bodyPr/>
              <a:lstStyle/>
              <a:p>
                <a:pPr>
                  <a:defRPr sz="1200" b="1">
                    <a:solidFill>
                      <a:schemeClr val="accent3">
                        <a:lumMod val="40000"/>
                        <a:lumOff val="60000"/>
                      </a:schemeClr>
                    </a:solidFill>
                    <a:latin typeface="Times New Roman" panose="02020603050405020304" pitchFamily="18" charset="0"/>
                    <a:cs typeface="Times New Roman" panose="02020603050405020304" pitchFamily="18" charset="0"/>
                  </a:defRPr>
                </a:pPr>
                <a:endParaRPr lang="lv-LV"/>
              </a:p>
            </c:txPr>
            <c:dLblPos val="b"/>
            <c:showLegendKey val="0"/>
            <c:showVal val="1"/>
            <c:showCatName val="0"/>
            <c:showSerName val="0"/>
            <c:showPercent val="0"/>
            <c:showBubbleSize val="0"/>
            <c:showLeaderLines val="0"/>
          </c:dLbls>
          <c:cat>
            <c:strRef>
              <c:f>Sheet1!$A$26:$A$30</c:f>
              <c:strCache>
                <c:ptCount val="5"/>
                <c:pt idx="0">
                  <c:v>2013.gads</c:v>
                </c:pt>
                <c:pt idx="1">
                  <c:v>2014.gads</c:v>
                </c:pt>
                <c:pt idx="2">
                  <c:v>2015.gads</c:v>
                </c:pt>
                <c:pt idx="3">
                  <c:v>2016.gads</c:v>
                </c:pt>
                <c:pt idx="4">
                  <c:v>2017.gads</c:v>
                </c:pt>
              </c:strCache>
            </c:strRef>
          </c:cat>
          <c:val>
            <c:numRef>
              <c:f>Sheet1!$C$26:$C$30</c:f>
              <c:numCache>
                <c:formatCode>General</c:formatCode>
                <c:ptCount val="5"/>
                <c:pt idx="0">
                  <c:v>3138</c:v>
                </c:pt>
                <c:pt idx="1">
                  <c:v>3806</c:v>
                </c:pt>
                <c:pt idx="2">
                  <c:v>3754</c:v>
                </c:pt>
                <c:pt idx="3">
                  <c:v>6424</c:v>
                </c:pt>
                <c:pt idx="4">
                  <c:v>5307</c:v>
                </c:pt>
              </c:numCache>
            </c:numRef>
          </c:val>
          <c:smooth val="0"/>
        </c:ser>
        <c:dLbls>
          <c:showLegendKey val="0"/>
          <c:showVal val="0"/>
          <c:showCatName val="0"/>
          <c:showSerName val="0"/>
          <c:showPercent val="0"/>
          <c:showBubbleSize val="0"/>
        </c:dLbls>
        <c:marker val="1"/>
        <c:smooth val="0"/>
        <c:axId val="42848640"/>
        <c:axId val="42838656"/>
      </c:lineChart>
      <c:catAx>
        <c:axId val="42835328"/>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42837120"/>
        <c:crosses val="autoZero"/>
        <c:auto val="1"/>
        <c:lblAlgn val="ctr"/>
        <c:lblOffset val="100"/>
        <c:noMultiLvlLbl val="0"/>
      </c:catAx>
      <c:valAx>
        <c:axId val="42837120"/>
        <c:scaling>
          <c:orientation val="minMax"/>
        </c:scaling>
        <c:delete val="0"/>
        <c:axPos val="l"/>
        <c:majorGridlines>
          <c:spPr>
            <a:ln>
              <a:noFill/>
            </a:ln>
          </c:spPr>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42835328"/>
        <c:crosses val="autoZero"/>
        <c:crossBetween val="between"/>
      </c:valAx>
      <c:valAx>
        <c:axId val="42838656"/>
        <c:scaling>
          <c:orientation val="minMax"/>
          <c:max val="8000"/>
        </c:scaling>
        <c:delete val="0"/>
        <c:axPos val="r"/>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42848640"/>
        <c:crosses val="max"/>
        <c:crossBetween val="between"/>
        <c:majorUnit val="1000"/>
      </c:valAx>
      <c:catAx>
        <c:axId val="42848640"/>
        <c:scaling>
          <c:orientation val="minMax"/>
        </c:scaling>
        <c:delete val="1"/>
        <c:axPos val="b"/>
        <c:majorTickMark val="out"/>
        <c:minorTickMark val="none"/>
        <c:tickLblPos val="nextTo"/>
        <c:crossAx val="42838656"/>
        <c:crosses val="autoZero"/>
        <c:auto val="1"/>
        <c:lblAlgn val="ctr"/>
        <c:lblOffset val="100"/>
        <c:noMultiLvlLbl val="0"/>
      </c:catAx>
    </c:plotArea>
    <c:legend>
      <c:legendPos val="b"/>
      <c:layout/>
      <c:overlay val="0"/>
      <c:txPr>
        <a:bodyPr/>
        <a:lstStyle/>
        <a:p>
          <a:pPr>
            <a:defRPr sz="11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Sheet1!$B$43</c:f>
              <c:strCache>
                <c:ptCount val="1"/>
                <c:pt idx="0">
                  <c:v>Lēmumu skaits</c:v>
                </c:pt>
              </c:strCache>
            </c:strRef>
          </c:tx>
          <c:spPr>
            <a:solidFill>
              <a:schemeClr val="accent4">
                <a:lumMod val="50000"/>
              </a:schemeClr>
            </a:solidFill>
          </c:spPr>
          <c:invertIfNegative val="0"/>
          <c:dLbls>
            <c:txPr>
              <a:bodyPr/>
              <a:lstStyle/>
              <a:p>
                <a:pPr>
                  <a:defRPr sz="1200" b="1">
                    <a:solidFill>
                      <a:schemeClr val="bg1"/>
                    </a:solidFill>
                    <a:latin typeface="Times New Roman" panose="02020603050405020304" pitchFamily="18" charset="0"/>
                    <a:cs typeface="Times New Roman" panose="02020603050405020304" pitchFamily="18" charset="0"/>
                  </a:defRPr>
                </a:pPr>
                <a:endParaRPr lang="lv-LV"/>
              </a:p>
            </c:txPr>
            <c:dLblPos val="inEnd"/>
            <c:showLegendKey val="0"/>
            <c:showVal val="1"/>
            <c:showCatName val="0"/>
            <c:showSerName val="0"/>
            <c:showPercent val="0"/>
            <c:showBubbleSize val="0"/>
            <c:showLeaderLines val="0"/>
          </c:dLbls>
          <c:cat>
            <c:strRef>
              <c:f>Sheet1!$A$44:$A$48</c:f>
              <c:strCache>
                <c:ptCount val="5"/>
                <c:pt idx="0">
                  <c:v>2013.gads</c:v>
                </c:pt>
                <c:pt idx="1">
                  <c:v>2014.gads</c:v>
                </c:pt>
                <c:pt idx="2">
                  <c:v>2015.gads</c:v>
                </c:pt>
                <c:pt idx="3">
                  <c:v>2016.gads</c:v>
                </c:pt>
                <c:pt idx="4">
                  <c:v>2017.gads</c:v>
                </c:pt>
              </c:strCache>
            </c:strRef>
          </c:cat>
          <c:val>
            <c:numRef>
              <c:f>Sheet1!$B$44:$B$48</c:f>
              <c:numCache>
                <c:formatCode>General</c:formatCode>
                <c:ptCount val="5"/>
                <c:pt idx="0">
                  <c:v>117</c:v>
                </c:pt>
                <c:pt idx="1">
                  <c:v>200</c:v>
                </c:pt>
                <c:pt idx="2">
                  <c:v>238</c:v>
                </c:pt>
                <c:pt idx="3">
                  <c:v>216</c:v>
                </c:pt>
                <c:pt idx="4">
                  <c:v>220</c:v>
                </c:pt>
              </c:numCache>
            </c:numRef>
          </c:val>
        </c:ser>
        <c:ser>
          <c:idx val="1"/>
          <c:order val="1"/>
          <c:tx>
            <c:strRef>
              <c:f>Sheet1!$C$43</c:f>
              <c:strCache>
                <c:ptCount val="1"/>
                <c:pt idx="0">
                  <c:v>Naudas sodi</c:v>
                </c:pt>
              </c:strCache>
            </c:strRef>
          </c:tx>
          <c:spPr>
            <a:solidFill>
              <a:schemeClr val="tx2">
                <a:lumMod val="40000"/>
                <a:lumOff val="60000"/>
              </a:schemeClr>
            </a:solidFill>
          </c:spPr>
          <c:invertIfNegative val="0"/>
          <c:dLbls>
            <c:txPr>
              <a:bodyPr/>
              <a:lstStyle/>
              <a:p>
                <a:pPr>
                  <a:defRPr sz="1200" b="1">
                    <a:latin typeface="Times New Roman" panose="02020603050405020304" pitchFamily="18" charset="0"/>
                    <a:cs typeface="Times New Roman" panose="02020603050405020304" pitchFamily="18" charset="0"/>
                  </a:defRPr>
                </a:pPr>
                <a:endParaRPr lang="lv-LV"/>
              </a:p>
            </c:txPr>
            <c:dLblPos val="inEnd"/>
            <c:showLegendKey val="0"/>
            <c:showVal val="1"/>
            <c:showCatName val="0"/>
            <c:showSerName val="0"/>
            <c:showPercent val="0"/>
            <c:showBubbleSize val="0"/>
            <c:showLeaderLines val="0"/>
          </c:dLbls>
          <c:cat>
            <c:strRef>
              <c:f>Sheet1!$A$44:$A$48</c:f>
              <c:strCache>
                <c:ptCount val="5"/>
                <c:pt idx="0">
                  <c:v>2013.gads</c:v>
                </c:pt>
                <c:pt idx="1">
                  <c:v>2014.gads</c:v>
                </c:pt>
                <c:pt idx="2">
                  <c:v>2015.gads</c:v>
                </c:pt>
                <c:pt idx="3">
                  <c:v>2016.gads</c:v>
                </c:pt>
                <c:pt idx="4">
                  <c:v>2017.gads</c:v>
                </c:pt>
              </c:strCache>
            </c:strRef>
          </c:cat>
          <c:val>
            <c:numRef>
              <c:f>Sheet1!$C$44:$C$48</c:f>
              <c:numCache>
                <c:formatCode>General</c:formatCode>
                <c:ptCount val="5"/>
                <c:pt idx="0">
                  <c:v>77</c:v>
                </c:pt>
                <c:pt idx="1">
                  <c:v>100</c:v>
                </c:pt>
                <c:pt idx="2">
                  <c:v>139</c:v>
                </c:pt>
                <c:pt idx="3">
                  <c:v>136</c:v>
                </c:pt>
                <c:pt idx="4">
                  <c:v>144</c:v>
                </c:pt>
              </c:numCache>
            </c:numRef>
          </c:val>
        </c:ser>
        <c:dLbls>
          <c:showLegendKey val="0"/>
          <c:showVal val="0"/>
          <c:showCatName val="0"/>
          <c:showSerName val="0"/>
          <c:showPercent val="0"/>
          <c:showBubbleSize val="0"/>
        </c:dLbls>
        <c:gapWidth val="150"/>
        <c:axId val="42868736"/>
        <c:axId val="42869888"/>
      </c:barChart>
      <c:lineChart>
        <c:grouping val="standard"/>
        <c:varyColors val="0"/>
        <c:ser>
          <c:idx val="2"/>
          <c:order val="2"/>
          <c:tx>
            <c:strRef>
              <c:f>Sheet1!$D$43</c:f>
              <c:strCache>
                <c:ptCount val="1"/>
                <c:pt idx="0">
                  <c:v>Sodu apmērs</c:v>
                </c:pt>
              </c:strCache>
            </c:strRef>
          </c:tx>
          <c:spPr>
            <a:ln>
              <a:solidFill>
                <a:schemeClr val="accent3">
                  <a:lumMod val="40000"/>
                  <a:lumOff val="60000"/>
                </a:schemeClr>
              </a:solidFill>
            </a:ln>
          </c:spPr>
          <c:marker>
            <c:symbol val="triangle"/>
            <c:size val="9"/>
            <c:spPr>
              <a:solidFill>
                <a:schemeClr val="accent3">
                  <a:lumMod val="40000"/>
                  <a:lumOff val="60000"/>
                </a:schemeClr>
              </a:solidFill>
              <a:ln>
                <a:solidFill>
                  <a:schemeClr val="accent4">
                    <a:lumMod val="50000"/>
                  </a:schemeClr>
                </a:solidFill>
              </a:ln>
            </c:spPr>
          </c:marker>
          <c:dLbls>
            <c:dLbl>
              <c:idx val="2"/>
              <c:layout>
                <c:manualLayout>
                  <c:x val="0"/>
                  <c:y val="-2.1476507040602121E-2"/>
                </c:manualLayout>
              </c:layout>
              <c:showLegendKey val="0"/>
              <c:showVal val="1"/>
              <c:showCatName val="0"/>
              <c:showSerName val="0"/>
              <c:showPercent val="0"/>
              <c:showBubbleSize val="0"/>
            </c:dLbl>
            <c:dLbl>
              <c:idx val="3"/>
              <c:layout>
                <c:manualLayout>
                  <c:x val="-3.5203412073490812E-3"/>
                  <c:y val="1.1586378673848593E-2"/>
                </c:manualLayout>
              </c:layout>
              <c:showLegendKey val="0"/>
              <c:showVal val="1"/>
              <c:showCatName val="0"/>
              <c:showSerName val="0"/>
              <c:showPercent val="0"/>
              <c:showBubbleSize val="0"/>
            </c:dLbl>
            <c:dLbl>
              <c:idx val="4"/>
              <c:layout>
                <c:manualLayout>
                  <c:x val="-1.0649606299212598E-2"/>
                  <c:y val="1.1832695047752554E-2"/>
                </c:manualLayout>
              </c:layout>
              <c:showLegendKey val="0"/>
              <c:showVal val="1"/>
              <c:showCatName val="0"/>
              <c:showSerName val="0"/>
              <c:showPercent val="0"/>
              <c:showBubbleSize val="0"/>
            </c:dLbl>
            <c:txPr>
              <a:bodyPr/>
              <a:lstStyle/>
              <a:p>
                <a:pPr>
                  <a:defRPr sz="1200"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Sheet1!$A$44:$A$48</c:f>
              <c:strCache>
                <c:ptCount val="5"/>
                <c:pt idx="0">
                  <c:v>2013.gads</c:v>
                </c:pt>
                <c:pt idx="1">
                  <c:v>2014.gads</c:v>
                </c:pt>
                <c:pt idx="2">
                  <c:v>2015.gads</c:v>
                </c:pt>
                <c:pt idx="3">
                  <c:v>2016.gads</c:v>
                </c:pt>
                <c:pt idx="4">
                  <c:v>2017.gads</c:v>
                </c:pt>
              </c:strCache>
            </c:strRef>
          </c:cat>
          <c:val>
            <c:numRef>
              <c:f>Sheet1!$D$44:$D$48</c:f>
              <c:numCache>
                <c:formatCode>General</c:formatCode>
                <c:ptCount val="5"/>
                <c:pt idx="0">
                  <c:v>8345</c:v>
                </c:pt>
                <c:pt idx="1">
                  <c:v>10115</c:v>
                </c:pt>
                <c:pt idx="2">
                  <c:v>14285</c:v>
                </c:pt>
                <c:pt idx="3">
                  <c:v>12545</c:v>
                </c:pt>
                <c:pt idx="4">
                  <c:v>15145</c:v>
                </c:pt>
              </c:numCache>
            </c:numRef>
          </c:val>
          <c:smooth val="0"/>
        </c:ser>
        <c:dLbls>
          <c:showLegendKey val="0"/>
          <c:showVal val="0"/>
          <c:showCatName val="0"/>
          <c:showSerName val="0"/>
          <c:showPercent val="0"/>
          <c:showBubbleSize val="0"/>
        </c:dLbls>
        <c:marker val="1"/>
        <c:smooth val="0"/>
        <c:axId val="42877312"/>
        <c:axId val="42871424"/>
      </c:lineChart>
      <c:catAx>
        <c:axId val="42868736"/>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42869888"/>
        <c:crosses val="autoZero"/>
        <c:auto val="1"/>
        <c:lblAlgn val="ctr"/>
        <c:lblOffset val="100"/>
        <c:noMultiLvlLbl val="0"/>
      </c:catAx>
      <c:valAx>
        <c:axId val="42869888"/>
        <c:scaling>
          <c:orientation val="minMax"/>
          <c:max val="260"/>
          <c:min val="0"/>
        </c:scaling>
        <c:delete val="0"/>
        <c:axPos val="l"/>
        <c:majorGridlines>
          <c:spPr>
            <a:ln>
              <a:noFill/>
            </a:ln>
          </c:spPr>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42868736"/>
        <c:crosses val="autoZero"/>
        <c:crossBetween val="between"/>
      </c:valAx>
      <c:valAx>
        <c:axId val="42871424"/>
        <c:scaling>
          <c:orientation val="minMax"/>
          <c:max val="20000"/>
        </c:scaling>
        <c:delete val="0"/>
        <c:axPos val="r"/>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42877312"/>
        <c:crosses val="max"/>
        <c:crossBetween val="between"/>
        <c:majorUnit val="4000"/>
      </c:valAx>
      <c:catAx>
        <c:axId val="42877312"/>
        <c:scaling>
          <c:orientation val="minMax"/>
        </c:scaling>
        <c:delete val="1"/>
        <c:axPos val="b"/>
        <c:majorTickMark val="out"/>
        <c:minorTickMark val="none"/>
        <c:tickLblPos val="nextTo"/>
        <c:crossAx val="42871424"/>
        <c:crosses val="autoZero"/>
        <c:auto val="1"/>
        <c:lblAlgn val="ctr"/>
        <c:lblOffset val="100"/>
        <c:noMultiLvlLbl val="0"/>
      </c:catAx>
    </c:plotArea>
    <c:legend>
      <c:legendPos val="b"/>
      <c:layout/>
      <c:overlay val="0"/>
      <c:txPr>
        <a:bodyPr/>
        <a:lstStyle/>
        <a:p>
          <a:pPr>
            <a:defRPr sz="11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Sheet1!$B$63</c:f>
              <c:strCache>
                <c:ptCount val="1"/>
                <c:pt idx="0">
                  <c:v>Uzsāktie kriminālprocesi</c:v>
                </c:pt>
              </c:strCache>
            </c:strRef>
          </c:tx>
          <c:spPr>
            <a:solidFill>
              <a:schemeClr val="accent4">
                <a:lumMod val="50000"/>
              </a:schemeClr>
            </a:solidFill>
          </c:spPr>
          <c:invertIfNegative val="0"/>
          <c:dLbls>
            <c:txPr>
              <a:bodyPr/>
              <a:lstStyle/>
              <a:p>
                <a:pPr>
                  <a:defRPr sz="1200"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Sheet1!$A$64:$A$68</c:f>
              <c:strCache>
                <c:ptCount val="5"/>
                <c:pt idx="0">
                  <c:v>2013.gads</c:v>
                </c:pt>
                <c:pt idx="1">
                  <c:v>2014.gads</c:v>
                </c:pt>
                <c:pt idx="2">
                  <c:v>2015.gads</c:v>
                </c:pt>
                <c:pt idx="3">
                  <c:v>2016.gads</c:v>
                </c:pt>
                <c:pt idx="4">
                  <c:v>2017.gads</c:v>
                </c:pt>
              </c:strCache>
            </c:strRef>
          </c:cat>
          <c:val>
            <c:numRef>
              <c:f>Sheet1!$B$64:$B$68</c:f>
              <c:numCache>
                <c:formatCode>General</c:formatCode>
                <c:ptCount val="5"/>
                <c:pt idx="0">
                  <c:v>33</c:v>
                </c:pt>
                <c:pt idx="1">
                  <c:v>25</c:v>
                </c:pt>
                <c:pt idx="2">
                  <c:v>14</c:v>
                </c:pt>
                <c:pt idx="3">
                  <c:v>19</c:v>
                </c:pt>
                <c:pt idx="4">
                  <c:v>30</c:v>
                </c:pt>
              </c:numCache>
            </c:numRef>
          </c:val>
        </c:ser>
        <c:ser>
          <c:idx val="1"/>
          <c:order val="1"/>
          <c:tx>
            <c:strRef>
              <c:f>Sheet1!$C$63</c:f>
              <c:strCache>
                <c:ptCount val="1"/>
                <c:pt idx="0">
                  <c:v>Personu skaits</c:v>
                </c:pt>
              </c:strCache>
            </c:strRef>
          </c:tx>
          <c:spPr>
            <a:solidFill>
              <a:schemeClr val="tx2">
                <a:lumMod val="60000"/>
                <a:lumOff val="40000"/>
              </a:schemeClr>
            </a:solidFill>
          </c:spPr>
          <c:invertIfNegative val="0"/>
          <c:dLbls>
            <c:txPr>
              <a:bodyPr/>
              <a:lstStyle/>
              <a:p>
                <a:pPr>
                  <a:defRPr sz="1200"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Sheet1!$A$64:$A$68</c:f>
              <c:strCache>
                <c:ptCount val="5"/>
                <c:pt idx="0">
                  <c:v>2013.gads</c:v>
                </c:pt>
                <c:pt idx="1">
                  <c:v>2014.gads</c:v>
                </c:pt>
                <c:pt idx="2">
                  <c:v>2015.gads</c:v>
                </c:pt>
                <c:pt idx="3">
                  <c:v>2016.gads</c:v>
                </c:pt>
                <c:pt idx="4">
                  <c:v>2017.gads</c:v>
                </c:pt>
              </c:strCache>
            </c:strRef>
          </c:cat>
          <c:val>
            <c:numRef>
              <c:f>Sheet1!$C$64:$C$68</c:f>
              <c:numCache>
                <c:formatCode>General</c:formatCode>
                <c:ptCount val="5"/>
                <c:pt idx="0">
                  <c:v>47</c:v>
                </c:pt>
                <c:pt idx="1">
                  <c:v>72</c:v>
                </c:pt>
                <c:pt idx="2">
                  <c:v>33</c:v>
                </c:pt>
                <c:pt idx="3">
                  <c:v>35</c:v>
                </c:pt>
                <c:pt idx="4">
                  <c:v>41</c:v>
                </c:pt>
              </c:numCache>
            </c:numRef>
          </c:val>
        </c:ser>
        <c:ser>
          <c:idx val="2"/>
          <c:order val="2"/>
          <c:tx>
            <c:strRef>
              <c:f>Sheet1!$D$63</c:f>
              <c:strCache>
                <c:ptCount val="1"/>
                <c:pt idx="0">
                  <c:v>Kriminālvajāšanas uzsākšanai nosūtīto lietu skaits</c:v>
                </c:pt>
              </c:strCache>
            </c:strRef>
          </c:tx>
          <c:spPr>
            <a:solidFill>
              <a:schemeClr val="accent4">
                <a:lumMod val="40000"/>
                <a:lumOff val="60000"/>
              </a:schemeClr>
            </a:solidFill>
          </c:spPr>
          <c:invertIfNegative val="0"/>
          <c:dLbls>
            <c:txPr>
              <a:bodyPr/>
              <a:lstStyle/>
              <a:p>
                <a:pPr>
                  <a:defRPr sz="1200"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Sheet1!$A$64:$A$68</c:f>
              <c:strCache>
                <c:ptCount val="5"/>
                <c:pt idx="0">
                  <c:v>2013.gads</c:v>
                </c:pt>
                <c:pt idx="1">
                  <c:v>2014.gads</c:v>
                </c:pt>
                <c:pt idx="2">
                  <c:v>2015.gads</c:v>
                </c:pt>
                <c:pt idx="3">
                  <c:v>2016.gads</c:v>
                </c:pt>
                <c:pt idx="4">
                  <c:v>2017.gads</c:v>
                </c:pt>
              </c:strCache>
            </c:strRef>
          </c:cat>
          <c:val>
            <c:numRef>
              <c:f>Sheet1!$D$64:$D$68</c:f>
              <c:numCache>
                <c:formatCode>General</c:formatCode>
                <c:ptCount val="5"/>
                <c:pt idx="0">
                  <c:v>16</c:v>
                </c:pt>
                <c:pt idx="1">
                  <c:v>27</c:v>
                </c:pt>
                <c:pt idx="2">
                  <c:v>16</c:v>
                </c:pt>
                <c:pt idx="3">
                  <c:v>14</c:v>
                </c:pt>
                <c:pt idx="4">
                  <c:v>17</c:v>
                </c:pt>
              </c:numCache>
            </c:numRef>
          </c:val>
        </c:ser>
        <c:dLbls>
          <c:showLegendKey val="0"/>
          <c:showVal val="0"/>
          <c:showCatName val="0"/>
          <c:showSerName val="0"/>
          <c:showPercent val="0"/>
          <c:showBubbleSize val="0"/>
        </c:dLbls>
        <c:gapWidth val="150"/>
        <c:axId val="43009152"/>
        <c:axId val="43010688"/>
      </c:barChart>
      <c:catAx>
        <c:axId val="43009152"/>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43010688"/>
        <c:crosses val="autoZero"/>
        <c:auto val="1"/>
        <c:lblAlgn val="ctr"/>
        <c:lblOffset val="100"/>
        <c:noMultiLvlLbl val="0"/>
      </c:catAx>
      <c:valAx>
        <c:axId val="43010688"/>
        <c:scaling>
          <c:orientation val="minMax"/>
        </c:scaling>
        <c:delete val="0"/>
        <c:axPos val="l"/>
        <c:majorGridlines>
          <c:spPr>
            <a:ln>
              <a:noFill/>
            </a:ln>
          </c:spPr>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43009152"/>
        <c:crosses val="autoZero"/>
        <c:crossBetween val="between"/>
      </c:valAx>
    </c:plotArea>
    <c:legend>
      <c:legendPos val="b"/>
      <c:layout>
        <c:manualLayout>
          <c:xMode val="edge"/>
          <c:yMode val="edge"/>
          <c:x val="1.5316587841978689E-2"/>
          <c:y val="0.75778371655341281"/>
          <c:w val="0.82336575077873719"/>
          <c:h val="0.20687019171002721"/>
        </c:manualLayout>
      </c:layout>
      <c:overlay val="0"/>
      <c:txPr>
        <a:bodyPr/>
        <a:lstStyle/>
        <a:p>
          <a:pPr>
            <a:defRPr sz="11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lv-LV">
                <a:latin typeface="Times New Roman" panose="02020603050405020304" pitchFamily="18" charset="0"/>
                <a:cs typeface="Times New Roman" panose="02020603050405020304" pitchFamily="18" charset="0"/>
              </a:rPr>
              <a:t>Ziedojumi partijām </a:t>
            </a:r>
            <a:r>
              <a:rPr lang="lv-LV" i="1">
                <a:latin typeface="Times New Roman" panose="02020603050405020304" pitchFamily="18" charset="0"/>
                <a:cs typeface="Times New Roman" panose="02020603050405020304" pitchFamily="18" charset="0"/>
              </a:rPr>
              <a:t>(euro)</a:t>
            </a:r>
          </a:p>
        </c:rich>
      </c:tx>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dLbl>
              <c:idx val="0"/>
              <c:layout>
                <c:manualLayout>
                  <c:x val="2.1993127147766325E-2"/>
                  <c:y val="0"/>
                </c:manualLayout>
              </c:layout>
              <c:showLegendKey val="0"/>
              <c:showVal val="1"/>
              <c:showCatName val="0"/>
              <c:showSerName val="0"/>
              <c:showPercent val="0"/>
              <c:showBubbleSize val="0"/>
            </c:dLbl>
            <c:dLbl>
              <c:idx val="1"/>
              <c:layout>
                <c:manualLayout>
                  <c:x val="1.6494845360824743E-2"/>
                  <c:y val="4.2735042735042739E-3"/>
                </c:manualLayout>
              </c:layout>
              <c:showLegendKey val="0"/>
              <c:showVal val="1"/>
              <c:showCatName val="0"/>
              <c:showSerName val="0"/>
              <c:showPercent val="0"/>
              <c:showBubbleSize val="0"/>
            </c:dLbl>
            <c:dLbl>
              <c:idx val="2"/>
              <c:layout>
                <c:manualLayout>
                  <c:x val="2.4742268041237112E-2"/>
                  <c:y val="0"/>
                </c:manualLayout>
              </c:layout>
              <c:showLegendKey val="0"/>
              <c:showVal val="1"/>
              <c:showCatName val="0"/>
              <c:showSerName val="0"/>
              <c:showPercent val="0"/>
              <c:showBubbleSize val="0"/>
            </c:dLbl>
            <c:txPr>
              <a:bodyPr/>
              <a:lstStyle/>
              <a:p>
                <a:pPr>
                  <a:defRPr sz="11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Statistika!$E$9:$E$11</c:f>
              <c:strCache>
                <c:ptCount val="3"/>
                <c:pt idx="0">
                  <c:v>04.02.-03.06.2017</c:v>
                </c:pt>
                <c:pt idx="1">
                  <c:v>02.02.-01.06.2013</c:v>
                </c:pt>
                <c:pt idx="2">
                  <c:v>07.02.-06.06.2009</c:v>
                </c:pt>
              </c:strCache>
            </c:strRef>
          </c:cat>
          <c:val>
            <c:numRef>
              <c:f>Statistika!$G$9:$G$11</c:f>
              <c:numCache>
                <c:formatCode>#,##0.00</c:formatCode>
                <c:ptCount val="3"/>
                <c:pt idx="0">
                  <c:v>1770979.98</c:v>
                </c:pt>
                <c:pt idx="1">
                  <c:v>2262974.11</c:v>
                </c:pt>
                <c:pt idx="2">
                  <c:v>3079532.86</c:v>
                </c:pt>
              </c:numCache>
            </c:numRef>
          </c:val>
        </c:ser>
        <c:dLbls>
          <c:showLegendKey val="0"/>
          <c:showVal val="1"/>
          <c:showCatName val="0"/>
          <c:showSerName val="0"/>
          <c:showPercent val="0"/>
          <c:showBubbleSize val="0"/>
        </c:dLbls>
        <c:gapWidth val="150"/>
        <c:shape val="box"/>
        <c:axId val="42964864"/>
        <c:axId val="42967808"/>
        <c:axId val="0"/>
      </c:bar3DChart>
      <c:catAx>
        <c:axId val="42964864"/>
        <c:scaling>
          <c:orientation val="minMax"/>
        </c:scaling>
        <c:delete val="0"/>
        <c:axPos val="l"/>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42967808"/>
        <c:crosses val="autoZero"/>
        <c:auto val="1"/>
        <c:lblAlgn val="ctr"/>
        <c:lblOffset val="100"/>
        <c:noMultiLvlLbl val="0"/>
      </c:catAx>
      <c:valAx>
        <c:axId val="42967808"/>
        <c:scaling>
          <c:orientation val="minMax"/>
        </c:scaling>
        <c:delete val="1"/>
        <c:axPos val="b"/>
        <c:numFmt formatCode="#,##0.00" sourceLinked="1"/>
        <c:majorTickMark val="out"/>
        <c:minorTickMark val="none"/>
        <c:tickLblPos val="nextTo"/>
        <c:crossAx val="42964864"/>
        <c:crosses val="autoZero"/>
        <c:crossBetween val="between"/>
        <c:minorUnit val="1000"/>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Sheet1!$B$76</c:f>
              <c:strCache>
                <c:ptCount val="1"/>
                <c:pt idx="0">
                  <c:v>Pieņemto lēmumu skaits</c:v>
                </c:pt>
              </c:strCache>
            </c:strRef>
          </c:tx>
          <c:spPr>
            <a:solidFill>
              <a:schemeClr val="accent4">
                <a:lumMod val="50000"/>
              </a:schemeClr>
            </a:solidFill>
          </c:spPr>
          <c:invertIfNegative val="0"/>
          <c:dLbls>
            <c:txPr>
              <a:bodyPr/>
              <a:lstStyle/>
              <a:p>
                <a:pPr>
                  <a:defRPr sz="1200"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Sheet1!$A$77:$A$81</c:f>
              <c:strCache>
                <c:ptCount val="5"/>
                <c:pt idx="0">
                  <c:v>2013.gads</c:v>
                </c:pt>
                <c:pt idx="1">
                  <c:v>2014.gads</c:v>
                </c:pt>
                <c:pt idx="2">
                  <c:v>2015.gads</c:v>
                </c:pt>
                <c:pt idx="3">
                  <c:v>2016.gads</c:v>
                </c:pt>
                <c:pt idx="4">
                  <c:v>2017.gads</c:v>
                </c:pt>
              </c:strCache>
            </c:strRef>
          </c:cat>
          <c:val>
            <c:numRef>
              <c:f>Sheet1!$B$77:$B$81</c:f>
              <c:numCache>
                <c:formatCode>General</c:formatCode>
                <c:ptCount val="5"/>
                <c:pt idx="0">
                  <c:v>43</c:v>
                </c:pt>
                <c:pt idx="1">
                  <c:v>46</c:v>
                </c:pt>
                <c:pt idx="2">
                  <c:v>36</c:v>
                </c:pt>
                <c:pt idx="3">
                  <c:v>25</c:v>
                </c:pt>
                <c:pt idx="4">
                  <c:v>60</c:v>
                </c:pt>
              </c:numCache>
            </c:numRef>
          </c:val>
        </c:ser>
        <c:ser>
          <c:idx val="1"/>
          <c:order val="1"/>
          <c:tx>
            <c:strRef>
              <c:f>Sheet1!$C$76</c:f>
              <c:strCache>
                <c:ptCount val="1"/>
                <c:pt idx="0">
                  <c:v>Piemērots naudas sods</c:v>
                </c:pt>
              </c:strCache>
            </c:strRef>
          </c:tx>
          <c:spPr>
            <a:solidFill>
              <a:schemeClr val="accent4">
                <a:lumMod val="40000"/>
                <a:lumOff val="60000"/>
              </a:schemeClr>
            </a:solidFill>
          </c:spPr>
          <c:invertIfNegative val="0"/>
          <c:dLbls>
            <c:txPr>
              <a:bodyPr/>
              <a:lstStyle/>
              <a:p>
                <a:pPr>
                  <a:defRPr sz="1200"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dLbls>
          <c:cat>
            <c:strRef>
              <c:f>Sheet1!$A$77:$A$81</c:f>
              <c:strCache>
                <c:ptCount val="5"/>
                <c:pt idx="0">
                  <c:v>2013.gads</c:v>
                </c:pt>
                <c:pt idx="1">
                  <c:v>2014.gads</c:v>
                </c:pt>
                <c:pt idx="2">
                  <c:v>2015.gads</c:v>
                </c:pt>
                <c:pt idx="3">
                  <c:v>2016.gads</c:v>
                </c:pt>
                <c:pt idx="4">
                  <c:v>2017.gads</c:v>
                </c:pt>
              </c:strCache>
            </c:strRef>
          </c:cat>
          <c:val>
            <c:numRef>
              <c:f>Sheet1!$C$77:$C$81</c:f>
              <c:numCache>
                <c:formatCode>General</c:formatCode>
                <c:ptCount val="5"/>
                <c:pt idx="0">
                  <c:v>28</c:v>
                </c:pt>
                <c:pt idx="1">
                  <c:v>39</c:v>
                </c:pt>
                <c:pt idx="2">
                  <c:v>32</c:v>
                </c:pt>
                <c:pt idx="3">
                  <c:v>21</c:v>
                </c:pt>
                <c:pt idx="4">
                  <c:v>49</c:v>
                </c:pt>
              </c:numCache>
            </c:numRef>
          </c:val>
        </c:ser>
        <c:dLbls>
          <c:showLegendKey val="0"/>
          <c:showVal val="0"/>
          <c:showCatName val="0"/>
          <c:showSerName val="0"/>
          <c:showPercent val="0"/>
          <c:showBubbleSize val="0"/>
        </c:dLbls>
        <c:gapWidth val="150"/>
        <c:axId val="43059456"/>
        <c:axId val="43073536"/>
      </c:barChart>
      <c:catAx>
        <c:axId val="43059456"/>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43073536"/>
        <c:crosses val="autoZero"/>
        <c:auto val="1"/>
        <c:lblAlgn val="ctr"/>
        <c:lblOffset val="100"/>
        <c:noMultiLvlLbl val="0"/>
      </c:catAx>
      <c:valAx>
        <c:axId val="43073536"/>
        <c:scaling>
          <c:orientation val="minMax"/>
        </c:scaling>
        <c:delete val="0"/>
        <c:axPos val="l"/>
        <c:majorGridlines>
          <c:spPr>
            <a:ln>
              <a:noFill/>
            </a:ln>
          </c:spPr>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v-LV"/>
          </a:p>
        </c:txPr>
        <c:crossAx val="43059456"/>
        <c:crosses val="autoZero"/>
        <c:crossBetween val="between"/>
      </c:valAx>
    </c:plotArea>
    <c:legend>
      <c:legendPos val="b"/>
      <c:layout/>
      <c:overlay val="0"/>
      <c:txPr>
        <a:bodyPr/>
        <a:lstStyle/>
        <a:p>
          <a:pPr>
            <a:defRPr sz="11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734A-3DF0-41D5-AF47-F5F20B75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45732</Words>
  <Characters>26068</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71657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Jeļena Rutkovska</dc:creator>
  <cp:lastModifiedBy>Laura Dūša</cp:lastModifiedBy>
  <cp:revision>2</cp:revision>
  <cp:lastPrinted>2018-02-01T13:30:00Z</cp:lastPrinted>
  <dcterms:created xsi:type="dcterms:W3CDTF">2018-03-01T09:12:00Z</dcterms:created>
  <dcterms:modified xsi:type="dcterms:W3CDTF">2018-03-01T09:12:00Z</dcterms:modified>
</cp:coreProperties>
</file>